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F367" w14:textId="1C599F48" w:rsidR="000B3949" w:rsidRDefault="00E641EE">
      <w:r>
        <w:rPr>
          <w:noProof/>
        </w:rPr>
        <w:drawing>
          <wp:inline distT="0" distB="0" distL="0" distR="0" wp14:anchorId="35405430" wp14:editId="4B0B9401">
            <wp:extent cx="8229600" cy="4308475"/>
            <wp:effectExtent l="0" t="0" r="0" b="0"/>
            <wp:docPr id="304461149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461149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30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3949" w:rsidSect="00E641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EE"/>
    <w:rsid w:val="000B3949"/>
    <w:rsid w:val="00E6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8207"/>
  <w15:chartTrackingRefBased/>
  <w15:docId w15:val="{60C2BDD5-F89E-4F80-A19F-6DA1A7EB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Northrop Grumman Corporation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Eddy, David [US] (SP)</dc:creator>
  <cp:keywords/>
  <dc:description/>
  <cp:lastModifiedBy>Eddy, David [US] (SP)</cp:lastModifiedBy>
  <cp:revision>1</cp:revision>
  <dcterms:created xsi:type="dcterms:W3CDTF">2023-10-17T15:22:00Z</dcterms:created>
  <dcterms:modified xsi:type="dcterms:W3CDTF">2023-10-17T15:22:00Z</dcterms:modified>
</cp:coreProperties>
</file>