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2F0E" w14:textId="77777777" w:rsidR="00750A55" w:rsidRDefault="00750A55">
      <w:pPr>
        <w:pStyle w:val="BodyText"/>
        <w:spacing w:before="3"/>
        <w:rPr>
          <w:rFonts w:ascii="Times New Roman"/>
          <w:sz w:val="19"/>
        </w:rPr>
      </w:pPr>
    </w:p>
    <w:p w14:paraId="718EF1C4" w14:textId="77777777" w:rsidR="00750A55" w:rsidRDefault="001C5E6B">
      <w:pPr>
        <w:pStyle w:val="BodyText"/>
        <w:spacing w:before="56"/>
        <w:ind w:left="119"/>
      </w:pPr>
      <w:r>
        <w:t>May 4, 2023</w:t>
      </w:r>
    </w:p>
    <w:p w14:paraId="13DDE990" w14:textId="77777777" w:rsidR="00750A55" w:rsidRDefault="00750A55">
      <w:pPr>
        <w:pStyle w:val="BodyText"/>
      </w:pPr>
    </w:p>
    <w:p w14:paraId="4355E871" w14:textId="77777777" w:rsidR="00750A55" w:rsidRDefault="00750A55">
      <w:pPr>
        <w:pStyle w:val="BodyText"/>
        <w:spacing w:before="9"/>
        <w:rPr>
          <w:sz w:val="16"/>
        </w:rPr>
      </w:pPr>
    </w:p>
    <w:p w14:paraId="51C31A8E" w14:textId="77777777" w:rsidR="00750A55" w:rsidRDefault="001C5E6B">
      <w:pPr>
        <w:pStyle w:val="BodyText"/>
        <w:ind w:left="119"/>
      </w:pPr>
      <w:r>
        <w:t>Steve Burton</w:t>
      </w:r>
    </w:p>
    <w:p w14:paraId="44DE9BD1" w14:textId="77777777" w:rsidR="00750A55" w:rsidRDefault="001C5E6B">
      <w:pPr>
        <w:pStyle w:val="BodyText"/>
        <w:spacing w:before="20"/>
        <w:ind w:left="119"/>
      </w:pPr>
      <w:r>
        <w:t>Weber County Planning Commission</w:t>
      </w:r>
    </w:p>
    <w:p w14:paraId="2B0C7FC9" w14:textId="77777777" w:rsidR="00750A55" w:rsidRDefault="001C5E6B">
      <w:pPr>
        <w:pStyle w:val="BodyText"/>
        <w:spacing w:before="21"/>
        <w:ind w:left="119"/>
      </w:pPr>
      <w:r>
        <w:rPr>
          <w:color w:val="212121"/>
        </w:rPr>
        <w:t>2380 Washington Blvd #240, Ogden, UT 84401</w:t>
      </w:r>
    </w:p>
    <w:p w14:paraId="198F1A36" w14:textId="77777777" w:rsidR="00750A55" w:rsidRDefault="00750A55">
      <w:pPr>
        <w:pStyle w:val="BodyText"/>
      </w:pPr>
    </w:p>
    <w:p w14:paraId="21ED5B71" w14:textId="77777777" w:rsidR="00750A55" w:rsidRDefault="00750A55">
      <w:pPr>
        <w:pStyle w:val="BodyText"/>
        <w:spacing w:before="7"/>
        <w:rPr>
          <w:sz w:val="16"/>
        </w:rPr>
      </w:pPr>
    </w:p>
    <w:p w14:paraId="29D9BF04" w14:textId="237ECB80" w:rsidR="00750A55" w:rsidRDefault="001C5E6B">
      <w:pPr>
        <w:pStyle w:val="BodyText"/>
        <w:ind w:left="119"/>
      </w:pPr>
      <w:r>
        <w:t xml:space="preserve">SUBJECT: </w:t>
      </w:r>
      <w:r>
        <w:t>Rulon Flex Space</w:t>
      </w:r>
    </w:p>
    <w:p w14:paraId="2181C270" w14:textId="77777777" w:rsidR="00750A55" w:rsidRDefault="001C5E6B">
      <w:pPr>
        <w:pStyle w:val="BodyText"/>
        <w:spacing w:before="22" w:line="259" w:lineRule="auto"/>
        <w:ind w:left="979" w:right="6509" w:firstLine="11"/>
      </w:pPr>
      <w:r>
        <w:t>Sanitary Sewer Service Will Serve Letter</w:t>
      </w:r>
    </w:p>
    <w:p w14:paraId="0A0D0F31" w14:textId="77777777" w:rsidR="00750A55" w:rsidRDefault="00750A55">
      <w:pPr>
        <w:pStyle w:val="BodyText"/>
      </w:pPr>
    </w:p>
    <w:p w14:paraId="320C8FBC" w14:textId="77777777" w:rsidR="00750A55" w:rsidRDefault="001C5E6B">
      <w:pPr>
        <w:pStyle w:val="BodyText"/>
        <w:spacing w:before="181"/>
        <w:ind w:left="119"/>
      </w:pPr>
      <w:r>
        <w:t>Steve:</w:t>
      </w:r>
    </w:p>
    <w:p w14:paraId="26F2FD55" w14:textId="77777777" w:rsidR="00750A55" w:rsidRDefault="00750A55">
      <w:pPr>
        <w:pStyle w:val="BodyText"/>
      </w:pPr>
    </w:p>
    <w:p w14:paraId="52ED7E25" w14:textId="77777777" w:rsidR="00750A55" w:rsidRDefault="00750A55">
      <w:pPr>
        <w:pStyle w:val="BodyText"/>
        <w:spacing w:before="7"/>
        <w:rPr>
          <w:sz w:val="16"/>
        </w:rPr>
      </w:pPr>
    </w:p>
    <w:p w14:paraId="7C0D2A3A" w14:textId="3B52AEB6" w:rsidR="00750A55" w:rsidRDefault="001C5E6B">
      <w:pPr>
        <w:pStyle w:val="BodyText"/>
        <w:spacing w:line="259" w:lineRule="auto"/>
        <w:ind w:left="119" w:right="116"/>
        <w:jc w:val="both"/>
      </w:pPr>
      <w:r>
        <w:t>At the request of Joey Day, for Rulon Flex Space</w:t>
      </w:r>
      <w:r>
        <w:t xml:space="preserve">, 31,338 Sq. Ft. of self-storage located approximately 2241 N. Rulon White Blvd. Ogden, Utah. This property has previously been annexed into the district. We offer the following comments regarding Central </w:t>
      </w:r>
      <w:r>
        <w:t>Weber providing sanitary sewer service.</w:t>
      </w:r>
    </w:p>
    <w:p w14:paraId="2019FCA4" w14:textId="77777777" w:rsidR="00750A55" w:rsidRDefault="00750A55">
      <w:pPr>
        <w:pStyle w:val="BodyText"/>
      </w:pPr>
    </w:p>
    <w:p w14:paraId="1FFDE5F0" w14:textId="77777777" w:rsidR="00750A55" w:rsidRDefault="001C5E6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60"/>
        <w:ind w:hanging="451"/>
      </w:pPr>
      <w:proofErr w:type="gramStart"/>
      <w:r>
        <w:t>At this time</w:t>
      </w:r>
      <w:proofErr w:type="gramEnd"/>
      <w:r>
        <w:t xml:space="preserve">, Central Weber has the capacity to treat the sanitary sewer flow from this subdivision. </w:t>
      </w:r>
      <w:proofErr w:type="gramStart"/>
      <w:r>
        <w:t>The Inasmuch</w:t>
      </w:r>
      <w:proofErr w:type="gramEnd"/>
      <w:r>
        <w:t xml:space="preserve"> as system demand continuously changes with growth, this assessment is valid for three (3) years from the date issued on this</w:t>
      </w:r>
      <w:r>
        <w:rPr>
          <w:spacing w:val="-5"/>
        </w:rPr>
        <w:t xml:space="preserve"> </w:t>
      </w:r>
      <w:r>
        <w:t>letter.</w:t>
      </w:r>
    </w:p>
    <w:p w14:paraId="6A6AF12A" w14:textId="77777777" w:rsidR="00750A55" w:rsidRDefault="00750A55">
      <w:pPr>
        <w:pStyle w:val="BodyText"/>
        <w:spacing w:before="6"/>
        <w:rPr>
          <w:sz w:val="29"/>
        </w:rPr>
      </w:pPr>
    </w:p>
    <w:p w14:paraId="23B2D551" w14:textId="77777777" w:rsidR="00750A55" w:rsidRDefault="001C5E6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right="226" w:hanging="451"/>
      </w:pPr>
      <w:r>
        <w:t>If any c</w:t>
      </w:r>
      <w:r>
        <w:t>onnection is made directly into Central Weber’s line the connection must be inspected by Central Weber while the work is being done. A minimum of 48-hour notice for inspection shall be given to Central Weber prior to any work associated with the</w:t>
      </w:r>
      <w:r>
        <w:rPr>
          <w:spacing w:val="-11"/>
        </w:rPr>
        <w:t xml:space="preserve"> </w:t>
      </w:r>
      <w:r>
        <w:t>connection</w:t>
      </w:r>
      <w:r>
        <w:t>.</w:t>
      </w:r>
    </w:p>
    <w:p w14:paraId="1EAE3DF9" w14:textId="77777777" w:rsidR="00750A55" w:rsidRDefault="00750A55">
      <w:pPr>
        <w:pStyle w:val="BodyText"/>
      </w:pPr>
    </w:p>
    <w:p w14:paraId="1D8C401E" w14:textId="77777777" w:rsidR="00750A55" w:rsidRDefault="001C5E6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81"/>
        <w:ind w:right="665" w:hanging="451"/>
      </w:pPr>
      <w:r>
        <w:t xml:space="preserve">Central Weber will not take ownership or responsibility for the condition, </w:t>
      </w:r>
      <w:proofErr w:type="gramStart"/>
      <w:r>
        <w:t>ownership</w:t>
      </w:r>
      <w:proofErr w:type="gramEnd"/>
      <w:r>
        <w:t xml:space="preserve"> or maintenance of the proposed sanitary sewer lines (gravity or pressure) or system that will be installed to serve this</w:t>
      </w:r>
      <w:r>
        <w:rPr>
          <w:spacing w:val="1"/>
        </w:rPr>
        <w:t xml:space="preserve"> </w:t>
      </w:r>
      <w:r>
        <w:t>subdivision.</w:t>
      </w:r>
    </w:p>
    <w:p w14:paraId="28847D64" w14:textId="77777777" w:rsidR="00750A55" w:rsidRDefault="00750A55">
      <w:pPr>
        <w:pStyle w:val="BodyText"/>
      </w:pPr>
    </w:p>
    <w:p w14:paraId="7DCB2B88" w14:textId="77777777" w:rsidR="00750A55" w:rsidRDefault="001C5E6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81"/>
        <w:ind w:right="845" w:hanging="451"/>
      </w:pPr>
      <w:r>
        <w:t xml:space="preserve">The connection of any sump pumps </w:t>
      </w:r>
      <w:r>
        <w:t>(or similar type pumps) to the sanitary sewer system is prohibited during or after construction. Central Weber’s Wastewater Control Rules and Regulations</w:t>
      </w:r>
      <w:r>
        <w:rPr>
          <w:spacing w:val="-2"/>
        </w:rPr>
        <w:t xml:space="preserve"> </w:t>
      </w:r>
      <w:r>
        <w:t>state:</w:t>
      </w:r>
    </w:p>
    <w:p w14:paraId="7652082C" w14:textId="77777777" w:rsidR="00750A55" w:rsidRDefault="00750A55">
      <w:pPr>
        <w:pStyle w:val="BodyText"/>
      </w:pPr>
    </w:p>
    <w:p w14:paraId="44108548" w14:textId="77777777" w:rsidR="00750A55" w:rsidRDefault="001C5E6B">
      <w:pPr>
        <w:spacing w:before="181" w:line="259" w:lineRule="auto"/>
        <w:ind w:left="571" w:right="89"/>
        <w:rPr>
          <w:i/>
        </w:rPr>
      </w:pPr>
      <w:r>
        <w:rPr>
          <w:i/>
        </w:rPr>
        <w:t>Prohibited Discharge into Sanitary Sewer. No person shall discharge or cause or make a connect</w:t>
      </w:r>
      <w:r>
        <w:rPr>
          <w:i/>
        </w:rPr>
        <w:t>ion which would allow to be discharged any storm water, surface water, groundwater, roof water runoff or subsurface drainage to any sanitary sewer.</w:t>
      </w:r>
    </w:p>
    <w:p w14:paraId="48D5FA64" w14:textId="77777777" w:rsidR="00750A55" w:rsidRDefault="00750A55">
      <w:pPr>
        <w:pStyle w:val="BodyText"/>
        <w:rPr>
          <w:i/>
        </w:rPr>
      </w:pPr>
    </w:p>
    <w:p w14:paraId="53F3A2FF" w14:textId="77777777" w:rsidR="00750A55" w:rsidRDefault="001C5E6B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before="160"/>
        <w:ind w:left="660" w:right="280" w:hanging="540"/>
      </w:pPr>
      <w:r>
        <w:t>The entire parcel of property to be served will need to be annexed into the district prior to any connectio</w:t>
      </w:r>
      <w:r>
        <w:t>n to the district’s line.</w:t>
      </w:r>
      <w:r>
        <w:rPr>
          <w:spacing w:val="13"/>
        </w:rPr>
        <w:t xml:space="preserve"> </w:t>
      </w:r>
      <w:r>
        <w:t>This annexation must be complete before the sale of any lots in</w:t>
      </w:r>
    </w:p>
    <w:p w14:paraId="44C0F437" w14:textId="77777777" w:rsidR="00750A55" w:rsidRDefault="00750A55">
      <w:pPr>
        <w:sectPr w:rsidR="00750A55">
          <w:headerReference w:type="default" r:id="rId7"/>
          <w:footerReference w:type="default" r:id="rId8"/>
          <w:type w:val="continuous"/>
          <w:pgSz w:w="12240" w:h="15840"/>
          <w:pgMar w:top="1880" w:right="1380" w:bottom="1100" w:left="1320" w:header="427" w:footer="905" w:gutter="0"/>
          <w:pgNumType w:start="1"/>
          <w:cols w:space="720"/>
        </w:sectPr>
      </w:pPr>
    </w:p>
    <w:p w14:paraId="3965CB2E" w14:textId="77777777" w:rsidR="00750A55" w:rsidRDefault="00750A55">
      <w:pPr>
        <w:pStyle w:val="BodyText"/>
        <w:spacing w:before="1"/>
        <w:rPr>
          <w:sz w:val="18"/>
        </w:rPr>
      </w:pPr>
    </w:p>
    <w:p w14:paraId="11307E74" w14:textId="77777777" w:rsidR="00750A55" w:rsidRDefault="001C5E6B">
      <w:pPr>
        <w:pStyle w:val="BodyText"/>
        <w:spacing w:before="57"/>
        <w:ind w:left="659"/>
      </w:pPr>
      <w:r>
        <w:t>the subdivision.</w:t>
      </w:r>
    </w:p>
    <w:p w14:paraId="0C6FDA59" w14:textId="77777777" w:rsidR="00750A55" w:rsidRDefault="00750A55">
      <w:pPr>
        <w:pStyle w:val="BodyText"/>
      </w:pPr>
    </w:p>
    <w:p w14:paraId="3A183045" w14:textId="77777777" w:rsidR="00750A55" w:rsidRDefault="001C5E6B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left="660" w:right="310" w:hanging="540"/>
      </w:pPr>
      <w:r>
        <w:t>Impact fees will need to be paid to Central Weber Sewer Improvement District no later than the issuance of any building permits. Annexation Book 86 page</w:t>
      </w:r>
      <w:r>
        <w:rPr>
          <w:spacing w:val="-5"/>
        </w:rPr>
        <w:t xml:space="preserve"> </w:t>
      </w:r>
      <w:r>
        <w:t>6.</w:t>
      </w:r>
    </w:p>
    <w:p w14:paraId="4D0099C9" w14:textId="77777777" w:rsidR="00750A55" w:rsidRDefault="00750A55">
      <w:pPr>
        <w:pStyle w:val="BodyText"/>
      </w:pPr>
    </w:p>
    <w:p w14:paraId="2B18A23E" w14:textId="77777777" w:rsidR="00750A55" w:rsidRDefault="00750A55">
      <w:pPr>
        <w:pStyle w:val="BodyText"/>
      </w:pPr>
    </w:p>
    <w:p w14:paraId="6B14DF6A" w14:textId="77777777" w:rsidR="00750A55" w:rsidRDefault="001C5E6B">
      <w:pPr>
        <w:pStyle w:val="BodyText"/>
        <w:spacing w:before="181" w:line="403" w:lineRule="auto"/>
        <w:ind w:left="119" w:right="1831"/>
      </w:pPr>
      <w:r>
        <w:t>If you have any further questions or need additional information, please let us know. Sincerely,</w:t>
      </w:r>
    </w:p>
    <w:p w14:paraId="1ACBDCDF" w14:textId="77777777" w:rsidR="00750A55" w:rsidRDefault="00750A55">
      <w:pPr>
        <w:spacing w:line="403" w:lineRule="auto"/>
        <w:sectPr w:rsidR="00750A55">
          <w:pgSz w:w="12240" w:h="15840"/>
          <w:pgMar w:top="1880" w:right="1380" w:bottom="1100" w:left="1320" w:header="427" w:footer="905" w:gutter="0"/>
          <w:cols w:space="720"/>
        </w:sectPr>
      </w:pPr>
    </w:p>
    <w:p w14:paraId="19E51821" w14:textId="77777777" w:rsidR="00750A55" w:rsidRDefault="00750A55">
      <w:pPr>
        <w:pStyle w:val="BodyText"/>
      </w:pPr>
    </w:p>
    <w:p w14:paraId="04DB578C" w14:textId="77777777" w:rsidR="00750A55" w:rsidRDefault="001C5E6B">
      <w:pPr>
        <w:spacing w:before="186"/>
        <w:ind w:left="180"/>
        <w:rPr>
          <w:rFonts w:ascii="Arial"/>
          <w:sz w:val="21"/>
        </w:rPr>
      </w:pPr>
      <w:r>
        <w:pict w14:anchorId="689224E5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20pt;margin-top:-16.5pt;width:10.4pt;height:52pt;z-index:-3952;mso-position-horizontal-relative:page" fillcolor="#b1cde7" stroked="f">
            <v:textbox inset="0,0,0,0">
              <w:txbxContent>
                <w:p w14:paraId="67D06897" w14:textId="77777777" w:rsidR="00750A55" w:rsidRDefault="00750A55">
                  <w:pPr>
                    <w:pStyle w:val="BodyText"/>
                  </w:pPr>
                </w:p>
                <w:p w14:paraId="41495FEB" w14:textId="77777777" w:rsidR="00750A55" w:rsidRDefault="00750A55">
                  <w:pPr>
                    <w:pStyle w:val="BodyText"/>
                    <w:spacing w:before="3"/>
                    <w:rPr>
                      <w:sz w:val="20"/>
                    </w:rPr>
                  </w:pPr>
                </w:p>
                <w:p w14:paraId="36F185E6" w14:textId="77777777" w:rsidR="00750A55" w:rsidRDefault="001C5E6B">
                  <w:pPr>
                    <w:ind w:left="43" w:right="-29"/>
                    <w:rPr>
                      <w:rFonts w:ascii="Arial"/>
                      <w:sz w:val="21"/>
                    </w:rPr>
                  </w:pPr>
                  <w:proofErr w:type="spellStart"/>
                  <w:r>
                    <w:rPr>
                      <w:rFonts w:ascii="Arial"/>
                      <w:sz w:val="21"/>
                    </w:rPr>
                    <w:t>ar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Arial"/>
          <w:sz w:val="21"/>
        </w:rPr>
        <w:t>Clayton M</w:t>
      </w:r>
    </w:p>
    <w:p w14:paraId="6DBA5A1E" w14:textId="77777777" w:rsidR="00750A55" w:rsidRDefault="001C5E6B">
      <w:pPr>
        <w:spacing w:before="50"/>
        <w:ind w:left="180" w:right="6278"/>
        <w:rPr>
          <w:rFonts w:ascii="Arial"/>
          <w:sz w:val="10"/>
        </w:rPr>
      </w:pPr>
      <w:r>
        <w:br w:type="column"/>
      </w:r>
      <w:r>
        <w:rPr>
          <w:rFonts w:ascii="Arial"/>
          <w:sz w:val="10"/>
        </w:rPr>
        <w:t>Digitally signed by Clayton Marriott DN: C=U</w:t>
      </w:r>
      <w:r>
        <w:rPr>
          <w:rFonts w:ascii="Arial"/>
          <w:sz w:val="10"/>
          <w:shd w:val="clear" w:color="auto" w:fill="B1CDE7"/>
        </w:rPr>
        <w:t xml:space="preserve">S, </w:t>
      </w:r>
    </w:p>
    <w:p w14:paraId="21201CF2" w14:textId="77777777" w:rsidR="00750A55" w:rsidRDefault="001C5E6B">
      <w:pPr>
        <w:spacing w:before="1"/>
        <w:ind w:left="180" w:right="6299"/>
        <w:rPr>
          <w:rFonts w:ascii="Arial"/>
          <w:sz w:val="10"/>
        </w:rPr>
      </w:pPr>
      <w:r>
        <w:pict w14:anchorId="499E5DD3">
          <v:shape id="_x0000_s2053" style="position:absolute;left:0;text-align:left;margin-left:140.75pt;margin-top:-17.05pt;width:41.55pt;height:52pt;z-index:-4000;mso-position-horizontal-relative:page" coordorigin="2815,-341" coordsize="831,1040" o:spt="100" adj="0,,0" path="m3230,75r-415,l2815,491r415,l3230,75t416,-416l2815,-341r,208l3438,-133r,832l3646,699r,-832l3646,-341e" fillcolor="#b1cde7" stroked="f">
            <v:stroke joinstyle="round"/>
            <v:formulas/>
            <v:path arrowok="t" o:connecttype="segments"/>
            <w10:wrap anchorx="page"/>
          </v:shape>
        </w:pict>
      </w:r>
      <w:r>
        <w:pict w14:anchorId="5B82526C">
          <v:shape id="_x0000_s2052" type="#_x0000_t202" style="position:absolute;left:0;text-align:left;margin-left:131.45pt;margin-top:9.1pt;width:17.45pt;height:11.7pt;z-index:1120;mso-position-horizontal-relative:page" filled="f" stroked="f">
            <v:textbox inset="0,0,0,0">
              <w:txbxContent>
                <w:p w14:paraId="2FAEC828" w14:textId="77777777" w:rsidR="00750A55" w:rsidRDefault="001C5E6B">
                  <w:pPr>
                    <w:spacing w:line="234" w:lineRule="exact"/>
                    <w:rPr>
                      <w:rFonts w:ascii="Arial"/>
                      <w:sz w:val="21"/>
                    </w:rPr>
                  </w:pPr>
                  <w:proofErr w:type="spellStart"/>
                  <w:r>
                    <w:rPr>
                      <w:rFonts w:ascii="Arial"/>
                      <w:w w:val="95"/>
                      <w:sz w:val="21"/>
                    </w:rPr>
                    <w:t>riott</w:t>
                  </w:r>
                  <w:proofErr w:type="spellEnd"/>
                </w:p>
              </w:txbxContent>
            </v:textbox>
            <w10:wrap anchorx="page"/>
          </v:shape>
        </w:pict>
      </w:r>
      <w:hyperlink r:id="rId9">
        <w:r>
          <w:rPr>
            <w:rFonts w:ascii="Arial"/>
            <w:sz w:val="10"/>
          </w:rPr>
          <w:t>E=Claym@centralweber.com,</w:t>
        </w:r>
      </w:hyperlink>
      <w:r>
        <w:rPr>
          <w:rFonts w:ascii="Arial"/>
          <w:sz w:val="10"/>
        </w:rPr>
        <w:t xml:space="preserve"> O="CENTRAL WEBER SEWER ", OU="CENTRAL WEBER SEWER</w:t>
      </w:r>
    </w:p>
    <w:p w14:paraId="6803470E" w14:textId="77777777" w:rsidR="00750A55" w:rsidRDefault="001C5E6B">
      <w:pPr>
        <w:spacing w:before="1"/>
        <w:ind w:left="180"/>
        <w:rPr>
          <w:rFonts w:ascii="Arial"/>
          <w:sz w:val="10"/>
        </w:rPr>
      </w:pPr>
      <w:r>
        <w:rPr>
          <w:rFonts w:ascii="Arial"/>
          <w:sz w:val="10"/>
        </w:rPr>
        <w:t>", CN=Clayton Marriott</w:t>
      </w:r>
    </w:p>
    <w:p w14:paraId="60C9C770" w14:textId="77777777" w:rsidR="00750A55" w:rsidRDefault="00750A55">
      <w:pPr>
        <w:rPr>
          <w:rFonts w:ascii="Arial"/>
          <w:sz w:val="10"/>
        </w:rPr>
        <w:sectPr w:rsidR="00750A55">
          <w:type w:val="continuous"/>
          <w:pgSz w:w="12240" w:h="15840"/>
          <w:pgMar w:top="1880" w:right="1380" w:bottom="1100" w:left="1320" w:header="720" w:footer="720" w:gutter="0"/>
          <w:cols w:num="2" w:space="720" w:equalWidth="0">
            <w:col w:w="1163" w:space="359"/>
            <w:col w:w="8018"/>
          </w:cols>
        </w:sectPr>
      </w:pPr>
    </w:p>
    <w:p w14:paraId="37F50E59" w14:textId="77777777" w:rsidR="00750A55" w:rsidRDefault="001C5E6B">
      <w:pPr>
        <w:spacing w:before="1"/>
        <w:ind w:left="1702" w:right="-18"/>
        <w:rPr>
          <w:rFonts w:ascii="Arial"/>
          <w:sz w:val="10"/>
        </w:rPr>
      </w:pPr>
      <w:r>
        <w:pict w14:anchorId="31A0F338">
          <v:shape id="_x0000_s2051" type="#_x0000_t202" style="position:absolute;left:0;text-align:left;margin-left:171.9pt;margin-top:.1pt;width:10.4pt;height:11.8pt;z-index:1096;mso-position-horizontal-relative:page" fillcolor="#b1cde7" stroked="f">
            <v:textbox inset="0,0,0,0">
              <w:txbxContent>
                <w:p w14:paraId="6DEF594E" w14:textId="77777777" w:rsidR="00750A55" w:rsidRDefault="001C5E6B">
                  <w:pPr>
                    <w:spacing w:line="114" w:lineRule="exact"/>
                    <w:ind w:left="-14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 xml:space="preserve">I </w:t>
                  </w:r>
                  <w:proofErr w:type="gramStart"/>
                  <w:r>
                    <w:rPr>
                      <w:rFonts w:ascii="Arial"/>
                      <w:sz w:val="10"/>
                    </w:rPr>
                    <w:t>am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Reason: document</w:t>
      </w:r>
    </w:p>
    <w:p w14:paraId="4F342D12" w14:textId="77777777" w:rsidR="00750A55" w:rsidRDefault="001C5E6B">
      <w:pPr>
        <w:spacing w:before="1"/>
        <w:ind w:left="143"/>
        <w:rPr>
          <w:rFonts w:ascii="Arial"/>
          <w:sz w:val="10"/>
        </w:rPr>
      </w:pPr>
      <w:r>
        <w:br w:type="column"/>
      </w:r>
      <w:r>
        <w:rPr>
          <w:rFonts w:ascii="Arial"/>
          <w:sz w:val="10"/>
        </w:rPr>
        <w:t>the author of this</w:t>
      </w:r>
    </w:p>
    <w:p w14:paraId="1FB1E2FC" w14:textId="77777777" w:rsidR="00750A55" w:rsidRDefault="00750A55">
      <w:pPr>
        <w:pStyle w:val="BodyText"/>
        <w:rPr>
          <w:rFonts w:ascii="Arial"/>
          <w:sz w:val="10"/>
        </w:rPr>
      </w:pPr>
    </w:p>
    <w:p w14:paraId="065D900D" w14:textId="77777777" w:rsidR="00750A55" w:rsidRDefault="001C5E6B">
      <w:pPr>
        <w:ind w:left="149"/>
        <w:rPr>
          <w:rFonts w:ascii="Arial"/>
          <w:sz w:val="10"/>
        </w:rPr>
      </w:pPr>
      <w:r>
        <w:pict w14:anchorId="069F7A19">
          <v:shape id="_x0000_s2050" type="#_x0000_t202" style="position:absolute;left:0;text-align:left;margin-left:120pt;margin-top:.3pt;width:62.3pt;height:10.3pt;z-index:1048;mso-position-horizontal-relative:page" fillcolor="#b1cde7" stroked="f">
            <v:textbox inset="0,0,0,0">
              <w:txbxContent>
                <w:p w14:paraId="05690419" w14:textId="77777777" w:rsidR="00750A55" w:rsidRDefault="001C5E6B">
                  <w:pPr>
                    <w:spacing w:line="109" w:lineRule="exact"/>
                    <w:ind w:left="622" w:right="-15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Date:</w:t>
                  </w:r>
                  <w:r>
                    <w:rPr>
                      <w:rFonts w:ascii="Arial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sz w:val="10"/>
                    </w:rPr>
                    <w:t>2023.05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0"/>
        </w:rPr>
        <w:t>.04 08:22:51-06'00'</w:t>
      </w:r>
    </w:p>
    <w:p w14:paraId="4E6C0688" w14:textId="77777777" w:rsidR="00750A55" w:rsidRDefault="00750A55">
      <w:pPr>
        <w:rPr>
          <w:rFonts w:ascii="Arial"/>
          <w:sz w:val="10"/>
        </w:rPr>
        <w:sectPr w:rsidR="00750A55">
          <w:type w:val="continuous"/>
          <w:pgSz w:w="12240" w:h="15840"/>
          <w:pgMar w:top="1880" w:right="1380" w:bottom="1100" w:left="1320" w:header="720" w:footer="720" w:gutter="0"/>
          <w:cols w:num="2" w:space="720" w:equalWidth="0">
            <w:col w:w="2144" w:space="40"/>
            <w:col w:w="7356"/>
          </w:cols>
        </w:sectPr>
      </w:pPr>
    </w:p>
    <w:p w14:paraId="21437802" w14:textId="77777777" w:rsidR="00750A55" w:rsidRDefault="00750A55">
      <w:pPr>
        <w:pStyle w:val="BodyText"/>
        <w:spacing w:before="7"/>
        <w:rPr>
          <w:rFonts w:ascii="Arial"/>
          <w:sz w:val="17"/>
        </w:rPr>
      </w:pPr>
    </w:p>
    <w:p w14:paraId="345FAE15" w14:textId="77777777" w:rsidR="00750A55" w:rsidRDefault="001C5E6B">
      <w:pPr>
        <w:pStyle w:val="BodyText"/>
        <w:spacing w:before="56" w:line="403" w:lineRule="auto"/>
        <w:ind w:left="119" w:right="7911"/>
      </w:pPr>
      <w:r>
        <w:t>Clay Marriott Project Manager</w:t>
      </w:r>
    </w:p>
    <w:p w14:paraId="55A62ECC" w14:textId="77777777" w:rsidR="00750A55" w:rsidRDefault="00750A55">
      <w:pPr>
        <w:pStyle w:val="BodyText"/>
      </w:pPr>
    </w:p>
    <w:p w14:paraId="635E39C6" w14:textId="77777777" w:rsidR="00750A55" w:rsidRDefault="001C5E6B">
      <w:pPr>
        <w:pStyle w:val="BodyText"/>
        <w:tabs>
          <w:tab w:val="left" w:pos="839"/>
        </w:tabs>
        <w:spacing w:before="181" w:line="256" w:lineRule="auto"/>
        <w:ind w:left="839" w:right="5798" w:hanging="720"/>
      </w:pPr>
      <w:r>
        <w:t>CC:</w:t>
      </w:r>
      <w:r>
        <w:rPr>
          <w:rFonts w:ascii="Times New Roman"/>
        </w:rPr>
        <w:tab/>
      </w:r>
      <w:r>
        <w:t>Kevin Hall, Central Weber Sewer Paige</w:t>
      </w:r>
      <w:r>
        <w:rPr>
          <w:spacing w:val="1"/>
        </w:rPr>
        <w:t xml:space="preserve"> </w:t>
      </w:r>
      <w:r>
        <w:t>Spencer</w:t>
      </w:r>
    </w:p>
    <w:p w14:paraId="30DB4FD3" w14:textId="77777777" w:rsidR="00750A55" w:rsidRDefault="001C5E6B">
      <w:pPr>
        <w:pStyle w:val="BodyText"/>
        <w:spacing w:before="3"/>
        <w:ind w:left="839"/>
      </w:pPr>
      <w:r>
        <w:t>Joey Day</w:t>
      </w:r>
    </w:p>
    <w:sectPr w:rsidR="00750A55">
      <w:type w:val="continuous"/>
      <w:pgSz w:w="12240" w:h="15840"/>
      <w:pgMar w:top="1880" w:right="1380" w:bottom="11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175D" w14:textId="77777777" w:rsidR="00000000" w:rsidRDefault="001C5E6B">
      <w:r>
        <w:separator/>
      </w:r>
    </w:p>
  </w:endnote>
  <w:endnote w:type="continuationSeparator" w:id="0">
    <w:p w14:paraId="588FA2A4" w14:textId="77777777" w:rsidR="00000000" w:rsidRDefault="001C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D43" w14:textId="77777777" w:rsidR="00750A55" w:rsidRDefault="001C5E6B">
    <w:pPr>
      <w:pStyle w:val="BodyText"/>
      <w:spacing w:line="14" w:lineRule="auto"/>
      <w:rPr>
        <w:sz w:val="20"/>
      </w:rPr>
    </w:pPr>
    <w:r>
      <w:pict w14:anchorId="2C1DB63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3.2pt;margin-top:735.75pt;width:185.7pt;height:13.05pt;z-index:-3952;mso-position-horizontal-relative:page;mso-position-vertical-relative:page" filled="f" stroked="f">
          <v:textbox inset="0,0,0,0">
            <w:txbxContent>
              <w:p w14:paraId="55C4B876" w14:textId="77777777" w:rsidR="00750A55" w:rsidRDefault="001C5E6B">
                <w:pPr>
                  <w:spacing w:before="20"/>
                  <w:ind w:left="20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color w:val="7F7F7F"/>
                    <w:sz w:val="18"/>
                  </w:rPr>
                  <w:t>2618 West Pioneer Road, Ogden, UT 84404</w:t>
                </w:r>
              </w:p>
            </w:txbxContent>
          </v:textbox>
          <w10:wrap anchorx="page" anchory="page"/>
        </v:shape>
      </w:pict>
    </w:r>
    <w:r>
      <w:pict w14:anchorId="0AE3FF93">
        <v:shape id="_x0000_s1025" type="#_x0000_t202" style="position:absolute;margin-left:489.7pt;margin-top:736.5pt;width:51.4pt;height:13.05pt;z-index:-3928;mso-position-horizontal-relative:page;mso-position-vertical-relative:page" filled="f" stroked="f">
          <v:textbox inset="0,0,0,0">
            <w:txbxContent>
              <w:p w14:paraId="5C92E532" w14:textId="77777777" w:rsidR="00750A55" w:rsidRDefault="001C5E6B">
                <w:pPr>
                  <w:pStyle w:val="BodyText"/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C0E3" w14:textId="77777777" w:rsidR="00000000" w:rsidRDefault="001C5E6B">
      <w:r>
        <w:separator/>
      </w:r>
    </w:p>
  </w:footnote>
  <w:footnote w:type="continuationSeparator" w:id="0">
    <w:p w14:paraId="28F62F83" w14:textId="77777777" w:rsidR="00000000" w:rsidRDefault="001C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0E43" w14:textId="77777777" w:rsidR="00750A55" w:rsidRDefault="001C5E6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455" behindDoc="1" locked="0" layoutInCell="1" allowOverlap="1" wp14:anchorId="0017B5DF" wp14:editId="28A8ED80">
          <wp:simplePos x="0" y="0"/>
          <wp:positionH relativeFrom="page">
            <wp:posOffset>911352</wp:posOffset>
          </wp:positionH>
          <wp:positionV relativeFrom="page">
            <wp:posOffset>271272</wp:posOffset>
          </wp:positionV>
          <wp:extent cx="929639" cy="929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9639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AC17E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7pt;margin-top:50.05pt;width:288.35pt;height:19.25pt;z-index:-3976;mso-position-horizontal-relative:page;mso-position-vertical-relative:page" filled="f" stroked="f">
          <v:textbox inset="0,0,0,0">
            <w:txbxContent>
              <w:p w14:paraId="41348471" w14:textId="77777777" w:rsidR="00750A55" w:rsidRDefault="001C5E6B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7F7F7F"/>
                    <w:sz w:val="28"/>
                  </w:rPr>
                  <w:t>Central Weber Sewer Improvement District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2287"/>
    <w:multiLevelType w:val="hybridMultilevel"/>
    <w:tmpl w:val="B6846CA4"/>
    <w:lvl w:ilvl="0" w:tplc="565C9FCE">
      <w:start w:val="1"/>
      <w:numFmt w:val="decimal"/>
      <w:lvlText w:val="%1."/>
      <w:lvlJc w:val="left"/>
      <w:pPr>
        <w:ind w:left="571" w:hanging="452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3B886496">
      <w:numFmt w:val="bullet"/>
      <w:lvlText w:val="•"/>
      <w:lvlJc w:val="left"/>
      <w:pPr>
        <w:ind w:left="1476" w:hanging="452"/>
      </w:pPr>
      <w:rPr>
        <w:rFonts w:hint="default"/>
      </w:rPr>
    </w:lvl>
    <w:lvl w:ilvl="2" w:tplc="2B9449D8">
      <w:numFmt w:val="bullet"/>
      <w:lvlText w:val="•"/>
      <w:lvlJc w:val="left"/>
      <w:pPr>
        <w:ind w:left="2372" w:hanging="452"/>
      </w:pPr>
      <w:rPr>
        <w:rFonts w:hint="default"/>
      </w:rPr>
    </w:lvl>
    <w:lvl w:ilvl="3" w:tplc="6A162B26">
      <w:numFmt w:val="bullet"/>
      <w:lvlText w:val="•"/>
      <w:lvlJc w:val="left"/>
      <w:pPr>
        <w:ind w:left="3268" w:hanging="452"/>
      </w:pPr>
      <w:rPr>
        <w:rFonts w:hint="default"/>
      </w:rPr>
    </w:lvl>
    <w:lvl w:ilvl="4" w:tplc="DD523F48">
      <w:numFmt w:val="bullet"/>
      <w:lvlText w:val="•"/>
      <w:lvlJc w:val="left"/>
      <w:pPr>
        <w:ind w:left="4164" w:hanging="452"/>
      </w:pPr>
      <w:rPr>
        <w:rFonts w:hint="default"/>
      </w:rPr>
    </w:lvl>
    <w:lvl w:ilvl="5" w:tplc="2D50DFB2">
      <w:numFmt w:val="bullet"/>
      <w:lvlText w:val="•"/>
      <w:lvlJc w:val="left"/>
      <w:pPr>
        <w:ind w:left="5060" w:hanging="452"/>
      </w:pPr>
      <w:rPr>
        <w:rFonts w:hint="default"/>
      </w:rPr>
    </w:lvl>
    <w:lvl w:ilvl="6" w:tplc="34540732">
      <w:numFmt w:val="bullet"/>
      <w:lvlText w:val="•"/>
      <w:lvlJc w:val="left"/>
      <w:pPr>
        <w:ind w:left="5956" w:hanging="452"/>
      </w:pPr>
      <w:rPr>
        <w:rFonts w:hint="default"/>
      </w:rPr>
    </w:lvl>
    <w:lvl w:ilvl="7" w:tplc="7D245030">
      <w:numFmt w:val="bullet"/>
      <w:lvlText w:val="•"/>
      <w:lvlJc w:val="left"/>
      <w:pPr>
        <w:ind w:left="6852" w:hanging="452"/>
      </w:pPr>
      <w:rPr>
        <w:rFonts w:hint="default"/>
      </w:rPr>
    </w:lvl>
    <w:lvl w:ilvl="8" w:tplc="BC348EF2">
      <w:numFmt w:val="bullet"/>
      <w:lvlText w:val="•"/>
      <w:lvlJc w:val="left"/>
      <w:pPr>
        <w:ind w:left="7748" w:hanging="452"/>
      </w:pPr>
      <w:rPr>
        <w:rFonts w:hint="default"/>
      </w:rPr>
    </w:lvl>
  </w:abstractNum>
  <w:num w:numId="1" w16cid:durableId="16780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A55"/>
    <w:rsid w:val="001C5E6B"/>
    <w:rsid w:val="007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B5ECAA6"/>
  <w15:docId w15:val="{B2ABA8A0-7E4A-4EC6-8E1D-3D467C1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1" w:right="191" w:hanging="4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%3DClaym@centralweb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Clay Marriott</cp:lastModifiedBy>
  <cp:revision>2</cp:revision>
  <dcterms:created xsi:type="dcterms:W3CDTF">2023-05-04T14:29:00Z</dcterms:created>
  <dcterms:modified xsi:type="dcterms:W3CDTF">2023-05-04T21:33:00Z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Bluebeam Stapler 2019.1.20.129</vt:lpwstr>
  </property>
  <property fmtid="{D5CDD505-2E9C-101B-9397-08002B2CF9AE}" pid="4" name="LastSaved">
    <vt:filetime>2023-05-04T00:00:00Z</vt:filetime>
  </property>
</Properties>
</file>