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9FBD" w14:textId="6E0342C0" w:rsidR="00AC29B8" w:rsidRDefault="00AE60A9" w:rsidP="00AE60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RIVERBEND </w:t>
      </w:r>
    </w:p>
    <w:p w14:paraId="0E24AC40" w14:textId="2FF0C754" w:rsidR="00AE60A9" w:rsidRDefault="00AE60A9" w:rsidP="00AE60A9">
      <w:pPr>
        <w:spacing w:after="0" w:line="240" w:lineRule="auto"/>
        <w:jc w:val="center"/>
        <w:rPr>
          <w:b/>
          <w:bCs/>
        </w:rPr>
      </w:pPr>
    </w:p>
    <w:p w14:paraId="431B9E35" w14:textId="14EE1123" w:rsidR="00AE60A9" w:rsidRPr="00AE60A9" w:rsidRDefault="00AE60A9" w:rsidP="00AE60A9">
      <w:pPr>
        <w:spacing w:after="0" w:line="240" w:lineRule="auto"/>
        <w:jc w:val="both"/>
      </w:pPr>
      <w:r>
        <w:t xml:space="preserve">The single-family lot subdivision will be developed on approximately 69.14 acres.  It will be a cluster subdivision, with 50% (approximately 34.57 acres) of the land being reserved for agricultural use.  Calculations indicate a density of 91 units are allowed, which includes the density bonus.  </w:t>
      </w:r>
    </w:p>
    <w:p w14:paraId="394B0320" w14:textId="77777777" w:rsidR="00AE60A9" w:rsidRPr="00AE60A9" w:rsidRDefault="00AE60A9" w:rsidP="00AE60A9">
      <w:pPr>
        <w:jc w:val="center"/>
        <w:rPr>
          <w:b/>
          <w:bCs/>
        </w:rPr>
      </w:pPr>
    </w:p>
    <w:sectPr w:rsidR="00AE60A9" w:rsidRPr="00AE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A9"/>
    <w:rsid w:val="00AC29B8"/>
    <w:rsid w:val="00AE60A9"/>
    <w:rsid w:val="00D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D33E"/>
  <w15:chartTrackingRefBased/>
  <w15:docId w15:val="{361F8B40-6FC9-4174-BBBE-A0C594B8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Grampp</dc:creator>
  <cp:keywords/>
  <dc:description/>
  <cp:lastModifiedBy>Edward Grampp</cp:lastModifiedBy>
  <cp:revision>1</cp:revision>
  <dcterms:created xsi:type="dcterms:W3CDTF">2021-04-01T22:52:00Z</dcterms:created>
  <dcterms:modified xsi:type="dcterms:W3CDTF">2021-04-01T23:03:00Z</dcterms:modified>
</cp:coreProperties>
</file>