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8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4099"/>
        <w:gridCol w:w="1260"/>
        <w:gridCol w:w="4230"/>
      </w:tblGrid>
      <w:tr w:rsidR="00683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A32" w:rsidRDefault="0061187C">
            <w:pPr>
              <w:rPr>
                <w:sz w:val="24"/>
                <w:szCs w:val="24"/>
              </w:rPr>
            </w:pPr>
            <w:r w:rsidRPr="0061187C">
              <w:rPr>
                <w:sz w:val="24"/>
                <w:szCs w:val="24"/>
                <w:lang w:val="en-CA"/>
              </w:rPr>
              <w:drawing>
                <wp:inline distT="0" distB="0" distL="0" distR="0">
                  <wp:extent cx="1609725" cy="1098107"/>
                  <wp:effectExtent l="19050" t="0" r="0" b="0"/>
                  <wp:docPr id="6" name="Picture 1" descr="oval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val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840" cy="110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A32">
              <w:rPr>
                <w:sz w:val="24"/>
                <w:szCs w:val="24"/>
                <w:lang w:val="en-CA"/>
              </w:rPr>
              <w:fldChar w:fldCharType="begin"/>
            </w:r>
            <w:r w:rsidR="00683A32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683A32">
              <w:rPr>
                <w:sz w:val="24"/>
                <w:szCs w:val="24"/>
                <w:lang w:val="en-CA"/>
              </w:rPr>
              <w:fldChar w:fldCharType="end"/>
            </w:r>
          </w:p>
          <w:p w:rsidR="00683A32" w:rsidRDefault="00683A32">
            <w:pPr>
              <w:spacing w:after="57"/>
              <w:rPr>
                <w:sz w:val="24"/>
                <w:szCs w:val="24"/>
              </w:rPr>
            </w:pPr>
            <w:r>
              <w:rPr>
                <w:rFonts w:ascii="OzHandicraft BT" w:hAnsi="OzHandicraft BT" w:cs="OzHandicraft BT"/>
                <w:smallCaps/>
                <w:sz w:val="64"/>
                <w:szCs w:val="64"/>
              </w:rPr>
              <w:t>Memorandum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A32" w:rsidRDefault="00683A32">
            <w:pPr>
              <w:spacing w:after="57"/>
              <w:rPr>
                <w:sz w:val="24"/>
                <w:szCs w:val="24"/>
              </w:rPr>
            </w:pPr>
            <w:r>
              <w:rPr>
                <w:rStyle w:val="Headings"/>
                <w:sz w:val="24"/>
                <w:szCs w:val="24"/>
              </w:rPr>
              <w:t>To: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>
            <w:pPr>
              <w:rPr>
                <w:sz w:val="24"/>
                <w:szCs w:val="24"/>
              </w:rPr>
            </w:pPr>
          </w:p>
          <w:p w:rsidR="00683A32" w:rsidRDefault="0068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Brown</w:t>
            </w:r>
          </w:p>
          <w:p w:rsidR="00683A32" w:rsidRDefault="0068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Official</w:t>
            </w:r>
          </w:p>
          <w:p w:rsidR="00683A32" w:rsidRDefault="00683A32">
            <w:pPr>
              <w:spacing w:after="57"/>
              <w:rPr>
                <w:sz w:val="24"/>
                <w:szCs w:val="24"/>
              </w:rPr>
            </w:pPr>
          </w:p>
        </w:tc>
      </w:tr>
      <w:tr w:rsidR="00683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>
            <w:pPr>
              <w:spacing w:after="5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>
            <w:pPr>
              <w:spacing w:after="57"/>
              <w:rPr>
                <w:sz w:val="24"/>
                <w:szCs w:val="24"/>
              </w:rPr>
            </w:pPr>
            <w:r>
              <w:rPr>
                <w:rStyle w:val="Headings"/>
                <w:sz w:val="24"/>
                <w:szCs w:val="24"/>
              </w:rPr>
              <w:t>From: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>
            <w:pPr>
              <w:rPr>
                <w:sz w:val="24"/>
                <w:szCs w:val="24"/>
              </w:rPr>
            </w:pPr>
          </w:p>
          <w:p w:rsidR="00683A32" w:rsidRDefault="0068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Hennon</w:t>
            </w:r>
          </w:p>
          <w:p w:rsidR="00683A32" w:rsidRDefault="0068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Enforcement Officer II</w:t>
            </w:r>
          </w:p>
          <w:p w:rsidR="00683A32" w:rsidRDefault="00683A32">
            <w:pPr>
              <w:spacing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Weber County Planning Commission</w:t>
            </w:r>
          </w:p>
        </w:tc>
      </w:tr>
      <w:tr w:rsidR="00683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>
            <w:pPr>
              <w:spacing w:after="5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>
            <w:pPr>
              <w:spacing w:after="57"/>
              <w:rPr>
                <w:sz w:val="24"/>
                <w:szCs w:val="24"/>
              </w:rPr>
            </w:pPr>
            <w:r>
              <w:rPr>
                <w:rStyle w:val="Headings"/>
                <w:sz w:val="24"/>
                <w:szCs w:val="24"/>
              </w:rPr>
              <w:t>Subject: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 w:rsidP="0068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Mr. Rypien’s property</w:t>
            </w:r>
            <w:r w:rsidR="007069B9">
              <w:rPr>
                <w:rFonts w:ascii="Times New Roman" w:hAnsi="Times New Roman" w:cs="Times New Roman"/>
                <w:sz w:val="24"/>
                <w:szCs w:val="24"/>
              </w:rPr>
              <w:t xml:space="preserve"> 200320002</w:t>
            </w:r>
          </w:p>
          <w:p w:rsidR="00683A32" w:rsidRDefault="00683A32">
            <w:pPr>
              <w:spacing w:after="57"/>
              <w:rPr>
                <w:sz w:val="24"/>
                <w:szCs w:val="24"/>
              </w:rPr>
            </w:pPr>
          </w:p>
        </w:tc>
      </w:tr>
      <w:tr w:rsidR="00683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>
            <w:pPr>
              <w:spacing w:after="5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>
            <w:pPr>
              <w:spacing w:after="57"/>
              <w:rPr>
                <w:sz w:val="24"/>
                <w:szCs w:val="24"/>
              </w:rPr>
            </w:pPr>
            <w:r>
              <w:rPr>
                <w:rStyle w:val="Headings"/>
                <w:sz w:val="24"/>
                <w:szCs w:val="24"/>
              </w:rPr>
              <w:t>Date: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83A32" w:rsidRDefault="0068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10/04/2017</w:t>
            </w:r>
            <w:r>
              <w:rPr>
                <w:sz w:val="24"/>
                <w:szCs w:val="24"/>
              </w:rPr>
              <w:tab/>
            </w:r>
          </w:p>
          <w:p w:rsidR="00683A32" w:rsidRDefault="00683A32">
            <w:pPr>
              <w:spacing w:after="57"/>
              <w:rPr>
                <w:sz w:val="24"/>
                <w:szCs w:val="24"/>
              </w:rPr>
            </w:pPr>
          </w:p>
        </w:tc>
      </w:tr>
    </w:tbl>
    <w:p w:rsidR="00683A32" w:rsidRDefault="00683A32" w:rsidP="00683A32">
      <w:pPr>
        <w:rPr>
          <w:sz w:val="24"/>
          <w:szCs w:val="24"/>
        </w:rPr>
      </w:pPr>
    </w:p>
    <w:p w:rsidR="00683A32" w:rsidRDefault="00683A32" w:rsidP="00683A32">
      <w:pPr>
        <w:spacing w:line="2" w:lineRule="exact"/>
        <w:rPr>
          <w:sz w:val="24"/>
          <w:szCs w:val="24"/>
        </w:rPr>
      </w:pPr>
      <w:r>
        <w:rPr>
          <w:noProof/>
        </w:rPr>
        <w:pict>
          <v:line id="_x0000_s1026" style="position:absolute;z-index:251660288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7" style="position:absolute;z-index:251661312;mso-position-horizontal-relative:margin" from="0,.45pt" to="6in,.45pt" o:allowincell="f" strokecolor="#020000" strokeweight=".96pt">
            <w10:wrap anchorx="margin"/>
          </v:line>
        </w:pict>
      </w:r>
    </w:p>
    <w:p w:rsidR="00683A32" w:rsidRDefault="00683A32" w:rsidP="00683A32">
      <w:pPr>
        <w:rPr>
          <w:sz w:val="24"/>
          <w:szCs w:val="24"/>
        </w:rPr>
      </w:pPr>
    </w:p>
    <w:p w:rsidR="00683A32" w:rsidRDefault="00683A32" w:rsidP="0068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Craig,</w:t>
      </w:r>
    </w:p>
    <w:p w:rsidR="00683A32" w:rsidRDefault="00683A32" w:rsidP="00683A32">
      <w:pPr>
        <w:rPr>
          <w:rFonts w:ascii="Times New Roman" w:hAnsi="Times New Roman" w:cs="Times New Roman"/>
          <w:sz w:val="24"/>
          <w:szCs w:val="24"/>
        </w:rPr>
      </w:pPr>
    </w:p>
    <w:p w:rsidR="00683A32" w:rsidRPr="00683A32" w:rsidRDefault="00683A32" w:rsidP="00683A32">
      <w:pPr>
        <w:rPr>
          <w:rFonts w:ascii="Times New Roman" w:hAnsi="Times New Roman" w:cs="Times New Roman"/>
          <w:sz w:val="24"/>
          <w:szCs w:val="24"/>
        </w:rPr>
      </w:pPr>
    </w:p>
    <w:p w:rsidR="00E939A4" w:rsidRDefault="00683A32" w:rsidP="00DD45FB">
      <w:pPr>
        <w:spacing w:before="240"/>
      </w:pPr>
      <w:r>
        <w:t xml:space="preserve">Mr. Rypien has come into the office to revive </w:t>
      </w:r>
      <w:r w:rsidR="00414C3F">
        <w:t>an old application for a single family dwelling. It was determined at that time some of the documentation</w:t>
      </w:r>
      <w:r w:rsidR="007069B9">
        <w:t xml:space="preserve"> needed</w:t>
      </w:r>
      <w:r w:rsidR="00414C3F">
        <w:t xml:space="preserve"> for</w:t>
      </w:r>
      <w:r w:rsidR="007069B9">
        <w:t xml:space="preserve"> his application</w:t>
      </w:r>
      <w:r w:rsidR="001E66F9">
        <w:t>,</w:t>
      </w:r>
      <w:r w:rsidR="007069B9">
        <w:t xml:space="preserve"> did not meet the current</w:t>
      </w:r>
      <w:r w:rsidR="00DD45FB">
        <w:t xml:space="preserve"> standards</w:t>
      </w:r>
      <w:r w:rsidR="007069B9">
        <w:t xml:space="preserve"> so the entire application would need to be </w:t>
      </w:r>
      <w:r w:rsidR="00DD45FB">
        <w:t xml:space="preserve">updated and </w:t>
      </w:r>
      <w:r w:rsidR="007069B9">
        <w:t>resubmitted including all relevant documentation</w:t>
      </w:r>
      <w:r w:rsidR="001E66F9">
        <w:t xml:space="preserve">, before being able to move forward with </w:t>
      </w:r>
      <w:r w:rsidR="007069B9">
        <w:t>his application</w:t>
      </w:r>
      <w:r w:rsidR="001E66F9">
        <w:t xml:space="preserve">. </w:t>
      </w:r>
    </w:p>
    <w:p w:rsidR="00DD45FB" w:rsidRDefault="001E66F9" w:rsidP="00DD45FB">
      <w:pPr>
        <w:spacing w:before="240"/>
      </w:pPr>
      <w:r>
        <w:t>Mr. Rypien does have some unique challenges to overcome</w:t>
      </w:r>
      <w:r w:rsidR="00E939A4">
        <w:t xml:space="preserve"> with his application; Mr. Rypien’s property is in the</w:t>
      </w:r>
      <w:r w:rsidR="007069B9">
        <w:t xml:space="preserve"> FR-1 zone</w:t>
      </w:r>
      <w:r w:rsidR="00414C3F">
        <w:t xml:space="preserve"> </w:t>
      </w:r>
      <w:r w:rsidR="00E939A4">
        <w:t xml:space="preserve">located in the Ogden Canyon with much of his property climbing the cliffs above the floor of the Canyon, a geological study will be a requirement. </w:t>
      </w:r>
    </w:p>
    <w:p w:rsidR="001E66F9" w:rsidRPr="00E939A4" w:rsidRDefault="00E939A4" w:rsidP="00DD45FB">
      <w:pPr>
        <w:spacing w:before="240"/>
      </w:pPr>
      <w:r>
        <w:t xml:space="preserve">I noticed on my way home </w:t>
      </w:r>
      <w:r w:rsidR="00CB130E">
        <w:t>yesterday that Mr.Rypien has moved forward and is putting power on his property</w:t>
      </w:r>
      <w:r w:rsidR="0061187C">
        <w:t>. H</w:t>
      </w:r>
      <w:r w:rsidR="00041A90">
        <w:t>e has a</w:t>
      </w:r>
      <w:r w:rsidR="00DD45FB">
        <w:t xml:space="preserve"> new</w:t>
      </w:r>
      <w:r w:rsidR="00041A90">
        <w:t xml:space="preserve"> pedestal on his property and </w:t>
      </w:r>
      <w:r w:rsidR="00DD45FB">
        <w:t xml:space="preserve">the </w:t>
      </w:r>
      <w:r w:rsidR="00041A90">
        <w:t>conduit coming from the edge of the road;</w:t>
      </w:r>
      <w:r w:rsidR="00CB130E">
        <w:t xml:space="preserve"> as you know Ogden Canyon is considered a minor arterial roa</w:t>
      </w:r>
      <w:r w:rsidR="00041A90">
        <w:t xml:space="preserve">d requiring sixty six feet in width </w:t>
      </w:r>
      <w:r w:rsidR="002652CD">
        <w:t xml:space="preserve">together </w:t>
      </w:r>
      <w:r w:rsidR="00041A90">
        <w:t xml:space="preserve">with a minimum setback of thirty feet </w:t>
      </w:r>
      <w:r w:rsidR="00DD45FB">
        <w:t>in the FR-1 zone for the front of any main building</w:t>
      </w:r>
      <w:r w:rsidR="0061187C">
        <w:t>.</w:t>
      </w:r>
      <w:r w:rsidR="002652CD">
        <w:t xml:space="preserve"> </w:t>
      </w:r>
      <w:r w:rsidR="0061187C">
        <w:t>W</w:t>
      </w:r>
      <w:r w:rsidR="002652CD">
        <w:t>here he has located his power source may be encroaching in the setbacks</w:t>
      </w:r>
      <w:r w:rsidR="00DD45FB">
        <w:t xml:space="preserve">. </w:t>
      </w:r>
      <w:r>
        <w:t xml:space="preserve"> </w:t>
      </w:r>
      <w:r w:rsidR="002652CD">
        <w:t>I am asking</w:t>
      </w:r>
      <w:r w:rsidR="00DD45FB">
        <w:t xml:space="preserve"> </w:t>
      </w:r>
      <w:r w:rsidR="002652CD">
        <w:t>Building Inspections</w:t>
      </w:r>
      <w:r w:rsidR="001E66F9">
        <w:t xml:space="preserve"> to look at</w:t>
      </w:r>
      <w:r w:rsidR="00DD45FB">
        <w:t xml:space="preserve"> holding off approving power to the property until his </w:t>
      </w:r>
      <w:r w:rsidR="0061187C">
        <w:t xml:space="preserve">entire </w:t>
      </w:r>
      <w:r w:rsidR="00DD45FB">
        <w:t xml:space="preserve">application has been submitted and it has been determined </w:t>
      </w:r>
      <w:r w:rsidR="0061187C">
        <w:t>that Mr. Rypien</w:t>
      </w:r>
      <w:r w:rsidR="002652CD">
        <w:t xml:space="preserve"> is able to build on this property</w:t>
      </w:r>
      <w:r w:rsidR="001E66F9">
        <w:t xml:space="preserve">. </w:t>
      </w:r>
    </w:p>
    <w:p w:rsidR="00683A32" w:rsidRDefault="00683A32" w:rsidP="001E66F9">
      <w:pPr>
        <w:rPr>
          <w:rFonts w:ascii="Times New Roman" w:hAnsi="Times New Roman" w:cs="Times New Roman"/>
          <w:sz w:val="24"/>
          <w:szCs w:val="24"/>
        </w:rPr>
      </w:pPr>
    </w:p>
    <w:p w:rsidR="002652CD" w:rsidRDefault="002652CD" w:rsidP="001E66F9">
      <w:pPr>
        <w:rPr>
          <w:rFonts w:ascii="Times New Roman" w:hAnsi="Times New Roman" w:cs="Times New Roman"/>
          <w:sz w:val="24"/>
          <w:szCs w:val="24"/>
        </w:rPr>
      </w:pPr>
    </w:p>
    <w:p w:rsidR="002652CD" w:rsidRDefault="00E64C74" w:rsidP="001E66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Exhibits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Three Photographs depicting conduit and power pedestal.</w:t>
      </w:r>
    </w:p>
    <w:p w:rsidR="00E64C74" w:rsidRDefault="00E64C74" w:rsidP="00CB430D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43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Ownership information</w:t>
      </w:r>
      <w:r w:rsidR="00CB430D">
        <w:rPr>
          <w:rFonts w:ascii="Times New Roman" w:hAnsi="Times New Roman" w:cs="Times New Roman"/>
          <w:sz w:val="24"/>
          <w:szCs w:val="24"/>
        </w:rPr>
        <w:t>.</w:t>
      </w:r>
    </w:p>
    <w:p w:rsidR="00E64C74" w:rsidRDefault="00CB430D" w:rsidP="00CB430D">
      <w:pPr>
        <w:tabs>
          <w:tab w:val="left" w:pos="1080"/>
        </w:tabs>
        <w:ind w:left="9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Weber County Code of Ordinances Title 104, chapter 13 </w:t>
      </w:r>
      <w:r w:rsidR="00E64C74">
        <w:rPr>
          <w:rFonts w:ascii="Times New Roman" w:hAnsi="Times New Roman" w:cs="Times New Roman"/>
          <w:sz w:val="24"/>
          <w:szCs w:val="24"/>
        </w:rPr>
        <w:t>Forest Residential Zone FR-1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Ogden Valley Streets and Roads map.</w:t>
      </w:r>
    </w:p>
    <w:p w:rsidR="002652CD" w:rsidRDefault="002652CD" w:rsidP="001E66F9">
      <w:pPr>
        <w:rPr>
          <w:rFonts w:ascii="Times New Roman" w:hAnsi="Times New Roman" w:cs="Times New Roman"/>
          <w:sz w:val="24"/>
          <w:szCs w:val="24"/>
        </w:rPr>
      </w:pPr>
    </w:p>
    <w:p w:rsidR="002652CD" w:rsidRDefault="002652CD" w:rsidP="001E66F9">
      <w:pPr>
        <w:rPr>
          <w:rFonts w:ascii="Times New Roman" w:hAnsi="Times New Roman" w:cs="Times New Roman"/>
          <w:sz w:val="24"/>
          <w:szCs w:val="24"/>
        </w:rPr>
      </w:pPr>
    </w:p>
    <w:p w:rsidR="002652CD" w:rsidRDefault="002652CD" w:rsidP="001E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</w:t>
      </w:r>
    </w:p>
    <w:p w:rsidR="002652CD" w:rsidRDefault="002652CD" w:rsidP="001E66F9">
      <w:pPr>
        <w:rPr>
          <w:rFonts w:ascii="Times New Roman" w:hAnsi="Times New Roman" w:cs="Times New Roman"/>
          <w:sz w:val="24"/>
          <w:szCs w:val="24"/>
        </w:rPr>
      </w:pPr>
    </w:p>
    <w:p w:rsidR="002652CD" w:rsidRDefault="002652CD" w:rsidP="001E66F9">
      <w:pPr>
        <w:rPr>
          <w:rFonts w:ascii="Times New Roman" w:hAnsi="Times New Roman" w:cs="Times New Roman"/>
          <w:sz w:val="24"/>
          <w:szCs w:val="24"/>
        </w:rPr>
      </w:pPr>
    </w:p>
    <w:p w:rsidR="002652CD" w:rsidRPr="002652CD" w:rsidRDefault="002652CD" w:rsidP="002652CD">
      <w:pPr>
        <w:rPr>
          <w:rFonts w:ascii="Copperplate Gothic Light" w:hAnsi="Copperplate Gothic Light"/>
          <w:b/>
          <w:i/>
          <w:color w:val="365F91" w:themeColor="accent1" w:themeShade="BF"/>
          <w:sz w:val="24"/>
          <w:szCs w:val="24"/>
        </w:rPr>
      </w:pPr>
      <w:r w:rsidRPr="002652CD">
        <w:rPr>
          <w:rFonts w:ascii="Copperplate Gothic Light" w:hAnsi="Copperplate Gothic Light"/>
          <w:b/>
          <w:i/>
          <w:color w:val="365F91" w:themeColor="accent1" w:themeShade="BF"/>
          <w:sz w:val="24"/>
          <w:szCs w:val="24"/>
        </w:rPr>
        <w:t>Iris Hennon</w:t>
      </w:r>
    </w:p>
    <w:p w:rsidR="002652CD" w:rsidRDefault="002652CD" w:rsidP="002652CD">
      <w:pPr>
        <w:rPr>
          <w:rFonts w:ascii="Copperplate Gothic Light" w:hAnsi="Copperplate Gothic Light"/>
          <w:color w:val="365F91" w:themeColor="accent1" w:themeShade="BF"/>
          <w:sz w:val="16"/>
          <w:szCs w:val="24"/>
        </w:rPr>
      </w:pPr>
      <w:r>
        <w:rPr>
          <w:rFonts w:ascii="Copperplate Gothic Light" w:hAnsi="Copperplate Gothic Light"/>
          <w:color w:val="365F91" w:themeColor="accent1" w:themeShade="BF"/>
          <w:sz w:val="16"/>
          <w:szCs w:val="24"/>
        </w:rPr>
        <w:t>Code Enforcement Officer II</w:t>
      </w:r>
    </w:p>
    <w:p w:rsidR="002652CD" w:rsidRDefault="002652CD" w:rsidP="002652CD">
      <w:pPr>
        <w:rPr>
          <w:rFonts w:ascii="Copperplate Gothic Light" w:hAnsi="Copperplate Gothic Light"/>
          <w:b/>
          <w:color w:val="365F91" w:themeColor="accent1" w:themeShade="BF"/>
          <w:sz w:val="16"/>
          <w:szCs w:val="24"/>
          <w:u w:val="single"/>
        </w:rPr>
      </w:pPr>
      <w:r>
        <w:rPr>
          <w:rFonts w:ascii="Copperplate Gothic Light" w:hAnsi="Copperplate Gothic Light"/>
          <w:b/>
          <w:color w:val="365F91" w:themeColor="accent1" w:themeShade="BF"/>
          <w:sz w:val="16"/>
          <w:szCs w:val="24"/>
          <w:u w:val="single"/>
        </w:rPr>
        <w:t>Weber County Planning Division</w:t>
      </w:r>
    </w:p>
    <w:p w:rsidR="002652CD" w:rsidRDefault="002652CD" w:rsidP="002652CD">
      <w:pPr>
        <w:rPr>
          <w:rFonts w:ascii="Copperplate Gothic Light" w:hAnsi="Copperplate Gothic Light" w:cs="Tahoma"/>
          <w:color w:val="000000"/>
          <w:sz w:val="16"/>
          <w:szCs w:val="16"/>
        </w:rPr>
      </w:pPr>
      <w:r w:rsidRPr="008867FB">
        <w:rPr>
          <w:rFonts w:ascii="Copperplate Gothic Light" w:hAnsi="Copperplate Gothic Light" w:cs="Tahoma"/>
          <w:color w:val="000000"/>
          <w:sz w:val="16"/>
          <w:szCs w:val="16"/>
        </w:rPr>
        <w:t>2380 Washington Blvd, Suite 240</w:t>
      </w:r>
      <w:r w:rsidRPr="008867FB">
        <w:rPr>
          <w:rFonts w:ascii="Copperplate Gothic Light" w:hAnsi="Copperplate Gothic Light" w:cs="Tahoma"/>
          <w:sz w:val="16"/>
          <w:szCs w:val="16"/>
        </w:rPr>
        <w:br/>
      </w:r>
      <w:r w:rsidRPr="008867FB">
        <w:rPr>
          <w:rFonts w:ascii="Copperplate Gothic Light" w:hAnsi="Copperplate Gothic Light" w:cs="Tahoma"/>
          <w:color w:val="000000"/>
          <w:sz w:val="16"/>
          <w:szCs w:val="16"/>
        </w:rPr>
        <w:t>Ogden, Utah, 84401-1473</w:t>
      </w:r>
    </w:p>
    <w:p w:rsidR="002652CD" w:rsidRDefault="002652CD" w:rsidP="002652CD">
      <w:pPr>
        <w:rPr>
          <w:rFonts w:ascii="Copperplate Gothic Light" w:hAnsi="Copperplate Gothic Light"/>
          <w:sz w:val="16"/>
          <w:szCs w:val="24"/>
        </w:rPr>
      </w:pPr>
      <w:r>
        <w:rPr>
          <w:rFonts w:ascii="Copperplate Gothic Light" w:hAnsi="Copperplate Gothic Light"/>
          <w:sz w:val="16"/>
          <w:szCs w:val="24"/>
        </w:rPr>
        <w:t>801-399-8762</w:t>
      </w:r>
    </w:p>
    <w:p w:rsidR="002652CD" w:rsidRDefault="002652CD" w:rsidP="002652CD">
      <w:pPr>
        <w:rPr>
          <w:rFonts w:ascii="Copperplate Gothic Light" w:hAnsi="Copperplate Gothic Light"/>
          <w:sz w:val="16"/>
          <w:szCs w:val="24"/>
        </w:rPr>
      </w:pPr>
      <w:r>
        <w:rPr>
          <w:rFonts w:ascii="Copperplate Gothic Light" w:hAnsi="Copperplate Gothic Light"/>
          <w:sz w:val="16"/>
          <w:szCs w:val="24"/>
        </w:rPr>
        <w:t xml:space="preserve">Email: </w:t>
      </w:r>
      <w:hyperlink r:id="rId6" w:history="1">
        <w:r w:rsidRPr="0033553C">
          <w:rPr>
            <w:rStyle w:val="Hyperlink"/>
            <w:rFonts w:ascii="Copperplate Gothic Light" w:hAnsi="Copperplate Gothic Light"/>
            <w:sz w:val="16"/>
            <w:szCs w:val="24"/>
          </w:rPr>
          <w:t>ihennon@co.weber.ut.us</w:t>
        </w:r>
      </w:hyperlink>
    </w:p>
    <w:p w:rsidR="002652CD" w:rsidRPr="002652CD" w:rsidRDefault="002652CD" w:rsidP="001E66F9">
      <w:pPr>
        <w:rPr>
          <w:rFonts w:ascii="Copperplate Gothic Light" w:hAnsi="Copperplate Gothic Light"/>
          <w:sz w:val="16"/>
          <w:szCs w:val="24"/>
        </w:rPr>
        <w:sectPr w:rsidR="002652CD" w:rsidRPr="002652CD" w:rsidSect="00E939A4">
          <w:pgSz w:w="12240" w:h="15840"/>
          <w:pgMar w:top="864" w:right="1152" w:bottom="288" w:left="1152" w:header="1440" w:footer="1440" w:gutter="0"/>
          <w:cols w:space="720"/>
          <w:docGrid w:linePitch="272"/>
        </w:sectPr>
      </w:pPr>
      <w:r w:rsidRPr="008B005F">
        <w:rPr>
          <w:rFonts w:ascii="Copperplate Gothic Light" w:hAnsi="Copperplate Gothic Light"/>
          <w:noProof/>
          <w:sz w:val="16"/>
          <w:szCs w:val="24"/>
        </w:rPr>
        <w:drawing>
          <wp:inline distT="0" distB="0" distL="0" distR="0">
            <wp:extent cx="698140" cy="476250"/>
            <wp:effectExtent l="19050" t="0" r="6710" b="0"/>
            <wp:docPr id="4" name="Picture 1" descr="ovalb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albl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25" cy="4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91" w:rsidRDefault="00E32C91" w:rsidP="00683A32"/>
    <w:sectPr w:rsidR="00E32C91" w:rsidSect="00E3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zHandicraft BT">
    <w:panose1 w:val="03080702020302020206"/>
    <w:charset w:val="00"/>
    <w:family w:val="script"/>
    <w:pitch w:val="variable"/>
    <w:sig w:usb0="800000AF" w:usb1="1000204A" w:usb2="00000000" w:usb3="00000000" w:csb0="0000001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83A32"/>
    <w:rsid w:val="00041A90"/>
    <w:rsid w:val="001E66F9"/>
    <w:rsid w:val="002652CD"/>
    <w:rsid w:val="00414C3F"/>
    <w:rsid w:val="0061187C"/>
    <w:rsid w:val="00683A32"/>
    <w:rsid w:val="007069B9"/>
    <w:rsid w:val="00C72418"/>
    <w:rsid w:val="00CB130E"/>
    <w:rsid w:val="00CB430D"/>
    <w:rsid w:val="00DD45FB"/>
    <w:rsid w:val="00E32C91"/>
    <w:rsid w:val="00E64C74"/>
    <w:rsid w:val="00E9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32"/>
    <w:pPr>
      <w:autoSpaceDE w:val="0"/>
      <w:autoSpaceDN w:val="0"/>
      <w:adjustRightInd w:val="0"/>
      <w:spacing w:after="0" w:line="240" w:lineRule="auto"/>
    </w:pPr>
    <w:rPr>
      <w:rFonts w:ascii="Humanst521 Lt BT" w:hAnsi="Humanst521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s">
    <w:name w:val="_Headings"/>
    <w:uiPriority w:val="99"/>
    <w:rsid w:val="00683A32"/>
    <w:rPr>
      <w:rFonts w:ascii="Humanst521 Cn BT" w:hAnsi="Humanst521 Cn BT" w:cs="Humanst521 Cn BT"/>
      <w:b/>
      <w:bCs/>
    </w:rPr>
  </w:style>
  <w:style w:type="paragraph" w:styleId="NoSpacing">
    <w:name w:val="No Spacing"/>
    <w:uiPriority w:val="1"/>
    <w:qFormat/>
    <w:rsid w:val="00DD45FB"/>
    <w:pPr>
      <w:autoSpaceDE w:val="0"/>
      <w:autoSpaceDN w:val="0"/>
      <w:adjustRightInd w:val="0"/>
      <w:spacing w:after="0" w:line="240" w:lineRule="auto"/>
    </w:pPr>
    <w:rPr>
      <w:rFonts w:ascii="Humanst521 Lt BT" w:hAnsi="Humanst521 Lt B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2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ennon@co.weber.ut.us" TargetMode="External"/><Relationship Id="rId5" Type="http://schemas.openxmlformats.org/officeDocument/2006/relationships/image" Target="cid:image001.gif@01D2AD47.398052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ihennon</dc:creator>
  <cp:lastModifiedBy>ihennon</cp:lastModifiedBy>
  <cp:revision>2</cp:revision>
  <cp:lastPrinted>2017-10-04T21:19:00Z</cp:lastPrinted>
  <dcterms:created xsi:type="dcterms:W3CDTF">2017-10-04T21:42:00Z</dcterms:created>
  <dcterms:modified xsi:type="dcterms:W3CDTF">2017-10-04T21:42:00Z</dcterms:modified>
</cp:coreProperties>
</file>