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7AE" w:rsidRDefault="00C867AE" w:rsidP="00C867AE">
      <w:pPr>
        <w:jc w:val="center"/>
        <w:rPr>
          <w:rFonts w:ascii="Calibri" w:eastAsia="Calibri" w:hAnsi="Calibri" w:cs="Times New Roman"/>
          <w:caps/>
          <w:sz w:val="24"/>
          <w:szCs w:val="24"/>
          <w:lang w:val="en-CA"/>
        </w:rPr>
      </w:pPr>
    </w:p>
    <w:p w:rsidR="00C867AE" w:rsidRDefault="00C867AE" w:rsidP="00C867AE">
      <w:pPr>
        <w:jc w:val="center"/>
        <w:rPr>
          <w:rFonts w:ascii="Calibri" w:eastAsia="Calibri" w:hAnsi="Calibri" w:cs="Times New Roman"/>
          <w:caps/>
          <w:sz w:val="24"/>
          <w:szCs w:val="24"/>
          <w:lang w:val="en-CA"/>
        </w:rPr>
      </w:pPr>
    </w:p>
    <w:p w:rsidR="00C867AE" w:rsidRPr="00C867AE" w:rsidRDefault="00C867AE" w:rsidP="00C867AE">
      <w:pPr>
        <w:jc w:val="center"/>
        <w:rPr>
          <w:rFonts w:ascii="Calibri" w:eastAsia="Calibri" w:hAnsi="Calibri" w:cs="Times New Roman"/>
          <w:bCs/>
          <w:caps/>
          <w:sz w:val="24"/>
          <w:szCs w:val="24"/>
        </w:rPr>
      </w:pPr>
      <w:r w:rsidRPr="00C867AE">
        <w:rPr>
          <w:rFonts w:ascii="Calibri" w:eastAsia="Calibri" w:hAnsi="Calibri" w:cs="Times New Roman"/>
          <w:caps/>
          <w:sz w:val="24"/>
          <w:szCs w:val="24"/>
          <w:lang w:val="en-CA"/>
        </w:rPr>
        <w:fldChar w:fldCharType="begin"/>
      </w:r>
      <w:r w:rsidRPr="00C867AE">
        <w:rPr>
          <w:rFonts w:ascii="Calibri" w:eastAsia="Calibri" w:hAnsi="Calibri" w:cs="Times New Roman"/>
          <w:caps/>
          <w:sz w:val="24"/>
          <w:szCs w:val="24"/>
          <w:lang w:val="en-CA"/>
        </w:rPr>
        <w:instrText xml:space="preserve"> SEQ CHAPTER \h \r 1</w:instrText>
      </w:r>
      <w:r w:rsidRPr="00C867AE">
        <w:rPr>
          <w:rFonts w:ascii="Calibri" w:eastAsia="Calibri" w:hAnsi="Calibri" w:cs="Times New Roman"/>
          <w:caps/>
          <w:sz w:val="24"/>
          <w:szCs w:val="24"/>
          <w:lang w:val="en-CA"/>
        </w:rPr>
        <w:fldChar w:fldCharType="end"/>
      </w:r>
      <w:r w:rsidRPr="00C867AE">
        <w:rPr>
          <w:rFonts w:ascii="Calibri" w:eastAsia="Calibri" w:hAnsi="Calibri" w:cs="Times New Roman"/>
          <w:b/>
          <w:bCs/>
          <w:caps/>
          <w:sz w:val="24"/>
          <w:szCs w:val="24"/>
        </w:rPr>
        <w:t>Ordinance No.</w:t>
      </w:r>
      <w:r w:rsidRPr="00C867AE">
        <w:rPr>
          <w:rFonts w:ascii="Calibri" w:eastAsia="Calibri" w:hAnsi="Calibri" w:cs="Times New Roman"/>
          <w:b/>
          <w:bCs/>
          <w:caps/>
          <w:sz w:val="24"/>
          <w:szCs w:val="24"/>
          <w:u w:val="single"/>
        </w:rPr>
        <w:tab/>
      </w:r>
      <w:r w:rsidRPr="00C867AE">
        <w:rPr>
          <w:rFonts w:ascii="Calibri" w:eastAsia="Calibri" w:hAnsi="Calibri" w:cs="Times New Roman"/>
          <w:b/>
          <w:bCs/>
          <w:caps/>
          <w:sz w:val="24"/>
          <w:szCs w:val="24"/>
          <w:u w:val="single"/>
        </w:rPr>
        <w:tab/>
      </w:r>
    </w:p>
    <w:p w:rsidR="00C867AE" w:rsidRPr="00C867AE" w:rsidRDefault="00C867AE" w:rsidP="00C867AE">
      <w:pPr>
        <w:jc w:val="center"/>
        <w:rPr>
          <w:rFonts w:ascii="Calibri" w:eastAsia="Calibri" w:hAnsi="Calibri" w:cs="Times New Roman"/>
          <w:b/>
          <w:bCs/>
          <w:caps/>
          <w:sz w:val="24"/>
          <w:szCs w:val="24"/>
        </w:rPr>
      </w:pPr>
      <w:r w:rsidRPr="00C867AE">
        <w:rPr>
          <w:rFonts w:ascii="Calibri" w:eastAsia="Calibri" w:hAnsi="Calibri" w:cs="Times New Roman"/>
          <w:b/>
          <w:bCs/>
          <w:caps/>
          <w:sz w:val="24"/>
          <w:szCs w:val="24"/>
        </w:rPr>
        <w:t xml:space="preserve">An ordinance of Weber County vacating the side Public utility easements </w:t>
      </w:r>
      <w:r w:rsidR="00DB52B1">
        <w:rPr>
          <w:rFonts w:ascii="Calibri" w:eastAsia="Calibri" w:hAnsi="Calibri" w:cs="Times New Roman"/>
          <w:b/>
          <w:bCs/>
          <w:caps/>
          <w:sz w:val="24"/>
          <w:szCs w:val="24"/>
        </w:rPr>
        <w:t>within lots 119, 120, 121, 122,</w:t>
      </w:r>
      <w:r w:rsidRPr="00C867AE">
        <w:rPr>
          <w:rFonts w:ascii="Calibri" w:eastAsia="Calibri" w:hAnsi="Calibri" w:cs="Times New Roman"/>
          <w:b/>
          <w:bCs/>
          <w:caps/>
          <w:sz w:val="24"/>
          <w:szCs w:val="24"/>
        </w:rPr>
        <w:t xml:space="preserve"> of the evergreen park subdivision no. 1</w:t>
      </w:r>
    </w:p>
    <w:p w:rsidR="00C867AE" w:rsidRPr="00C867AE" w:rsidRDefault="00C867AE" w:rsidP="00C867AE">
      <w:pPr>
        <w:rPr>
          <w:rFonts w:ascii="Calibri" w:eastAsia="Calibri" w:hAnsi="Calibri" w:cs="Times New Roman"/>
          <w:b/>
          <w:bCs/>
          <w:sz w:val="24"/>
          <w:szCs w:val="24"/>
        </w:rPr>
      </w:pPr>
    </w:p>
    <w:p w:rsidR="00C867AE" w:rsidRPr="00C867AE" w:rsidRDefault="00C867AE" w:rsidP="00C867AE">
      <w:pPr>
        <w:spacing w:after="360"/>
        <w:rPr>
          <w:rFonts w:ascii="Calibri" w:eastAsia="Calibri" w:hAnsi="Calibri" w:cs="Times New Roman"/>
          <w:b/>
          <w:bCs/>
          <w:sz w:val="24"/>
          <w:szCs w:val="24"/>
        </w:rPr>
      </w:pPr>
      <w:r w:rsidRPr="00C867AE">
        <w:rPr>
          <w:rFonts w:ascii="Calibri" w:eastAsia="Calibri" w:hAnsi="Calibri" w:cs="Times New Roman"/>
          <w:b/>
          <w:bCs/>
          <w:sz w:val="24"/>
          <w:szCs w:val="24"/>
        </w:rPr>
        <w:tab/>
        <w:t>WHEREAS,</w:t>
      </w:r>
      <w:r w:rsidRPr="00C867AE">
        <w:rPr>
          <w:rFonts w:ascii="Calibri" w:eastAsia="Calibri" w:hAnsi="Calibri" w:cs="Times New Roman"/>
          <w:sz w:val="24"/>
          <w:szCs w:val="24"/>
          <w:lang w:val="en-CA"/>
        </w:rPr>
        <w:t xml:space="preserve"> the owner</w:t>
      </w:r>
      <w:r w:rsidRPr="00C867AE">
        <w:rPr>
          <w:rFonts w:ascii="Calibri" w:eastAsia="Calibri" w:hAnsi="Calibri" w:cs="Times New Roman"/>
          <w:sz w:val="24"/>
          <w:szCs w:val="24"/>
        </w:rPr>
        <w:t xml:space="preserve"> has filed a petition to vacate the </w:t>
      </w:r>
      <w:r w:rsidRPr="00C867AE">
        <w:rPr>
          <w:rFonts w:ascii="Calibri" w:eastAsia="Calibri" w:hAnsi="Calibri" w:cs="Times New Roman"/>
          <w:bCs/>
          <w:sz w:val="24"/>
          <w:szCs w:val="24"/>
        </w:rPr>
        <w:t>side public utility easements within lots 119, 120, 121, 122, of the Evergreen Park Subdivision No. 1</w:t>
      </w:r>
      <w:r w:rsidRPr="00C867AE">
        <w:rPr>
          <w:rFonts w:ascii="Calibri" w:eastAsia="Calibri" w:hAnsi="Calibri" w:cs="Times New Roman"/>
          <w:sz w:val="24"/>
          <w:szCs w:val="24"/>
        </w:rPr>
        <w:t xml:space="preserve">, as depicted in Exhibit A of this ordinance; and </w:t>
      </w:r>
    </w:p>
    <w:p w:rsidR="00C867AE" w:rsidRPr="00C867AE" w:rsidRDefault="00C867AE" w:rsidP="00C867AE">
      <w:pPr>
        <w:spacing w:after="360"/>
        <w:rPr>
          <w:rFonts w:ascii="Calibri" w:eastAsia="Calibri" w:hAnsi="Calibri" w:cs="Times New Roman"/>
          <w:sz w:val="24"/>
          <w:szCs w:val="24"/>
        </w:rPr>
      </w:pPr>
      <w:r w:rsidRPr="00C867AE">
        <w:rPr>
          <w:rFonts w:ascii="Calibri" w:eastAsia="Calibri" w:hAnsi="Calibri" w:cs="Times New Roman"/>
          <w:b/>
          <w:bCs/>
          <w:sz w:val="24"/>
          <w:szCs w:val="24"/>
        </w:rPr>
        <w:tab/>
        <w:t>WHEREAS,</w:t>
      </w:r>
      <w:r w:rsidRPr="00C867AE">
        <w:rPr>
          <w:rFonts w:ascii="Calibri" w:eastAsia="Calibri" w:hAnsi="Calibri" w:cs="Times New Roman"/>
          <w:sz w:val="24"/>
          <w:szCs w:val="24"/>
        </w:rPr>
        <w:t xml:space="preserve"> after providing </w:t>
      </w:r>
      <w:bookmarkStart w:id="0" w:name="_GoBack"/>
      <w:bookmarkEnd w:id="0"/>
      <w:r w:rsidRPr="00C867AE">
        <w:rPr>
          <w:rFonts w:ascii="Calibri" w:eastAsia="Calibri" w:hAnsi="Calibri" w:cs="Times New Roman"/>
          <w:sz w:val="24"/>
          <w:szCs w:val="24"/>
        </w:rPr>
        <w:t>proper public notice, a public hearing was held before the Weber County Commission on July 19, 2022, regarding the vacation of the public utility easements; and</w:t>
      </w:r>
    </w:p>
    <w:p w:rsidR="00C867AE" w:rsidRPr="00C867AE" w:rsidRDefault="00C867AE" w:rsidP="00C867AE">
      <w:pPr>
        <w:shd w:val="clear" w:color="auto" w:fill="FFFFFF"/>
        <w:spacing w:after="360"/>
        <w:ind w:firstLine="720"/>
        <w:rPr>
          <w:rFonts w:ascii="Calibri" w:eastAsia="Calibri" w:hAnsi="Calibri" w:cs="Times New Roman"/>
          <w:sz w:val="24"/>
          <w:szCs w:val="24"/>
        </w:rPr>
      </w:pPr>
      <w:r w:rsidRPr="00C867AE">
        <w:rPr>
          <w:rFonts w:ascii="Calibri" w:eastAsia="Calibri" w:hAnsi="Calibri" w:cs="Times New Roman"/>
          <w:b/>
          <w:bCs/>
          <w:sz w:val="24"/>
          <w:szCs w:val="24"/>
        </w:rPr>
        <w:t xml:space="preserve">WHEREAS, </w:t>
      </w:r>
      <w:r w:rsidRPr="00C867AE">
        <w:rPr>
          <w:rFonts w:ascii="Calibri" w:eastAsia="Calibri" w:hAnsi="Calibri" w:cs="Times New Roman"/>
          <w:sz w:val="24"/>
          <w:szCs w:val="24"/>
        </w:rPr>
        <w:t>Weber County’s Engineering Department has been notified and has provided written approval of the public utility easement vacation; and</w:t>
      </w:r>
    </w:p>
    <w:p w:rsidR="00C867AE" w:rsidRPr="00C867AE" w:rsidRDefault="00C867AE" w:rsidP="00C867AE">
      <w:pPr>
        <w:spacing w:after="360"/>
        <w:rPr>
          <w:rFonts w:ascii="Calibri" w:eastAsia="Calibri" w:hAnsi="Calibri" w:cs="Times New Roman"/>
          <w:b/>
          <w:bCs/>
          <w:sz w:val="24"/>
          <w:szCs w:val="24"/>
        </w:rPr>
      </w:pPr>
      <w:r w:rsidRPr="00C867AE">
        <w:rPr>
          <w:rFonts w:ascii="Calibri" w:eastAsia="Calibri" w:hAnsi="Calibri" w:cs="Times New Roman"/>
          <w:sz w:val="24"/>
          <w:szCs w:val="24"/>
        </w:rPr>
        <w:tab/>
      </w:r>
      <w:r w:rsidRPr="00C867AE">
        <w:rPr>
          <w:rFonts w:ascii="Calibri" w:eastAsia="Calibri" w:hAnsi="Calibri" w:cs="Times New Roman"/>
          <w:b/>
          <w:bCs/>
          <w:sz w:val="24"/>
          <w:szCs w:val="24"/>
        </w:rPr>
        <w:t>WHEREAS,</w:t>
      </w:r>
      <w:r w:rsidRPr="00C867AE">
        <w:rPr>
          <w:rFonts w:ascii="Calibri" w:eastAsia="Calibri" w:hAnsi="Calibri" w:cs="Times New Roman"/>
          <w:sz w:val="24"/>
          <w:szCs w:val="24"/>
        </w:rPr>
        <w:t xml:space="preserve"> the Commission finds that good cause exists to vacate the public utility easement, and that it will not substantially affect the Ogden Valley General Plan, and that neither the public interest nor any person will be materially injured;</w:t>
      </w:r>
    </w:p>
    <w:p w:rsidR="00C867AE" w:rsidRPr="00C867AE" w:rsidRDefault="00C867AE" w:rsidP="00C867AE">
      <w:pPr>
        <w:spacing w:after="360"/>
        <w:rPr>
          <w:rFonts w:ascii="Calibri" w:eastAsia="Calibri" w:hAnsi="Calibri" w:cs="Times New Roman"/>
          <w:sz w:val="24"/>
          <w:szCs w:val="24"/>
        </w:rPr>
      </w:pPr>
      <w:r w:rsidRPr="00C867AE">
        <w:rPr>
          <w:rFonts w:ascii="Calibri" w:eastAsia="Calibri" w:hAnsi="Calibri" w:cs="Times New Roman"/>
          <w:sz w:val="24"/>
          <w:szCs w:val="24"/>
        </w:rPr>
        <w:tab/>
      </w:r>
      <w:r w:rsidRPr="00C867AE">
        <w:rPr>
          <w:rFonts w:ascii="Calibri" w:eastAsia="Calibri" w:hAnsi="Calibri" w:cs="Times New Roman"/>
          <w:b/>
          <w:bCs/>
          <w:sz w:val="24"/>
          <w:szCs w:val="24"/>
        </w:rPr>
        <w:t>NOW THEREFORE,</w:t>
      </w:r>
      <w:r w:rsidRPr="00C867AE">
        <w:rPr>
          <w:rFonts w:ascii="Calibri" w:eastAsia="Calibri" w:hAnsi="Calibri" w:cs="Times New Roman"/>
          <w:sz w:val="24"/>
          <w:szCs w:val="24"/>
        </w:rPr>
        <w:t xml:space="preserve"> the Board of County Commissioners of Weber County ordains as follows:  the </w:t>
      </w:r>
      <w:r w:rsidRPr="00C867AE">
        <w:rPr>
          <w:rFonts w:ascii="Calibri" w:eastAsia="Calibri" w:hAnsi="Calibri" w:cs="Times New Roman"/>
          <w:bCs/>
          <w:sz w:val="24"/>
          <w:szCs w:val="24"/>
        </w:rPr>
        <w:t xml:space="preserve">side public utility easements within lots 119, 120, 121, 122, of the Evergreen Park Subdivision No. 1 </w:t>
      </w:r>
      <w:proofErr w:type="gramStart"/>
      <w:r w:rsidRPr="00C867AE">
        <w:rPr>
          <w:rFonts w:ascii="Calibri" w:eastAsia="Calibri" w:hAnsi="Calibri" w:cs="Times New Roman"/>
          <w:bCs/>
          <w:sz w:val="24"/>
          <w:szCs w:val="24"/>
        </w:rPr>
        <w:t>are hereby vacated</w:t>
      </w:r>
      <w:proofErr w:type="gramEnd"/>
      <w:r w:rsidRPr="00C867AE">
        <w:rPr>
          <w:rFonts w:ascii="Calibri" w:eastAsia="Calibri" w:hAnsi="Calibri" w:cs="Times New Roman"/>
          <w:sz w:val="24"/>
          <w:szCs w:val="24"/>
        </w:rPr>
        <w:t>, as depicted in Exhibit A of this ordinance.</w:t>
      </w:r>
    </w:p>
    <w:p w:rsidR="00C867AE" w:rsidRPr="00C867AE" w:rsidRDefault="00C867AE" w:rsidP="00C867AE">
      <w:pPr>
        <w:spacing w:after="360"/>
        <w:rPr>
          <w:rFonts w:ascii="Calibri" w:eastAsia="Calibri" w:hAnsi="Calibri" w:cs="Times New Roman"/>
          <w:sz w:val="24"/>
          <w:szCs w:val="24"/>
        </w:rPr>
      </w:pPr>
      <w:r w:rsidRPr="00C867AE">
        <w:rPr>
          <w:rFonts w:ascii="Calibri" w:eastAsia="Calibri" w:hAnsi="Calibri" w:cs="Times New Roman"/>
          <w:sz w:val="24"/>
          <w:szCs w:val="24"/>
        </w:rPr>
        <w:t>This Ordinance shall be effective 15 days after publication in the Standard Examiner.</w:t>
      </w:r>
    </w:p>
    <w:p w:rsidR="00C867AE" w:rsidRPr="00C867AE" w:rsidRDefault="00C867AE" w:rsidP="00C867AE">
      <w:pPr>
        <w:spacing w:after="0"/>
        <w:rPr>
          <w:rFonts w:ascii="Calibri" w:eastAsia="Calibri" w:hAnsi="Calibri" w:cs="Times New Roman"/>
          <w:sz w:val="24"/>
          <w:szCs w:val="24"/>
        </w:rPr>
      </w:pPr>
      <w:r w:rsidRPr="00C867AE">
        <w:rPr>
          <w:rFonts w:ascii="Calibri" w:eastAsia="Calibri" w:hAnsi="Calibri" w:cs="Times New Roman"/>
          <w:sz w:val="24"/>
          <w:szCs w:val="24"/>
        </w:rPr>
        <w:t>Adopted and ordered published this 19</w:t>
      </w:r>
      <w:r w:rsidRPr="00C867AE">
        <w:rPr>
          <w:rFonts w:ascii="Calibri" w:eastAsia="Calibri" w:hAnsi="Calibri" w:cs="Times New Roman"/>
          <w:sz w:val="24"/>
          <w:szCs w:val="24"/>
          <w:vertAlign w:val="superscript"/>
        </w:rPr>
        <w:t>th</w:t>
      </w:r>
      <w:r w:rsidRPr="00C867AE">
        <w:rPr>
          <w:rFonts w:ascii="Calibri" w:eastAsia="Calibri" w:hAnsi="Calibri" w:cs="Times New Roman"/>
          <w:sz w:val="24"/>
          <w:szCs w:val="24"/>
        </w:rPr>
        <w:t xml:space="preserve"> day of July 2022.</w:t>
      </w:r>
    </w:p>
    <w:p w:rsidR="00C867AE" w:rsidRPr="00C867AE" w:rsidRDefault="00C867AE" w:rsidP="00C867AE">
      <w:pPr>
        <w:spacing w:after="0"/>
        <w:rPr>
          <w:rFonts w:ascii="Calibri" w:eastAsia="Calibri" w:hAnsi="Calibri" w:cs="Times New Roman"/>
          <w:sz w:val="24"/>
          <w:szCs w:val="24"/>
        </w:rPr>
      </w:pPr>
    </w:p>
    <w:p w:rsidR="00C867AE" w:rsidRPr="00C867AE" w:rsidRDefault="00C867AE" w:rsidP="00C867AE">
      <w:pPr>
        <w:spacing w:after="0"/>
        <w:rPr>
          <w:rFonts w:ascii="Calibri" w:eastAsia="Calibri" w:hAnsi="Calibri" w:cs="Times New Roman"/>
          <w:sz w:val="24"/>
          <w:szCs w:val="24"/>
        </w:rPr>
      </w:pPr>
      <w:r w:rsidRPr="00C867AE">
        <w:rPr>
          <w:rFonts w:ascii="Calibri" w:eastAsia="Calibri" w:hAnsi="Calibri" w:cs="Times New Roman"/>
          <w:sz w:val="24"/>
          <w:szCs w:val="24"/>
        </w:rPr>
        <w:tab/>
      </w:r>
      <w:r w:rsidRPr="00C867AE">
        <w:rPr>
          <w:rFonts w:ascii="Calibri" w:eastAsia="Calibri" w:hAnsi="Calibri" w:cs="Times New Roman"/>
          <w:sz w:val="24"/>
          <w:szCs w:val="24"/>
        </w:rPr>
        <w:tab/>
      </w:r>
      <w:r w:rsidRPr="00C867AE">
        <w:rPr>
          <w:rFonts w:ascii="Calibri" w:eastAsia="Calibri" w:hAnsi="Calibri" w:cs="Times New Roman"/>
          <w:sz w:val="24"/>
          <w:szCs w:val="24"/>
        </w:rPr>
        <w:tab/>
      </w:r>
      <w:r w:rsidRPr="00C867AE">
        <w:rPr>
          <w:rFonts w:ascii="Calibri" w:eastAsia="Calibri" w:hAnsi="Calibri" w:cs="Times New Roman"/>
          <w:sz w:val="24"/>
          <w:szCs w:val="24"/>
        </w:rPr>
        <w:tab/>
      </w:r>
      <w:r w:rsidRPr="00C867AE">
        <w:rPr>
          <w:rFonts w:ascii="Calibri" w:eastAsia="Calibri" w:hAnsi="Calibri" w:cs="Times New Roman"/>
          <w:sz w:val="24"/>
          <w:szCs w:val="24"/>
        </w:rPr>
        <w:tab/>
      </w:r>
      <w:r w:rsidRPr="00C867AE">
        <w:rPr>
          <w:rFonts w:ascii="Calibri" w:eastAsia="Calibri" w:hAnsi="Calibri" w:cs="Times New Roman"/>
          <w:sz w:val="24"/>
          <w:szCs w:val="24"/>
        </w:rPr>
        <w:tab/>
      </w:r>
      <w:r w:rsidRPr="00C867AE">
        <w:rPr>
          <w:rFonts w:ascii="Calibri" w:eastAsia="Calibri" w:hAnsi="Calibri" w:cs="Times New Roman"/>
          <w:sz w:val="24"/>
          <w:szCs w:val="24"/>
        </w:rPr>
        <w:tab/>
        <w:t>Weber County Commission</w:t>
      </w:r>
    </w:p>
    <w:p w:rsidR="00C867AE" w:rsidRPr="00C867AE" w:rsidRDefault="00C867AE" w:rsidP="00C867AE">
      <w:pPr>
        <w:spacing w:after="0"/>
        <w:rPr>
          <w:rFonts w:ascii="Calibri" w:eastAsia="Calibri" w:hAnsi="Calibri" w:cs="Times New Roman"/>
          <w:sz w:val="24"/>
          <w:szCs w:val="24"/>
        </w:rPr>
      </w:pPr>
      <w:r w:rsidRPr="00C867AE">
        <w:rPr>
          <w:rFonts w:ascii="Calibri" w:eastAsia="Calibri" w:hAnsi="Calibri" w:cs="Times New Roman"/>
          <w:sz w:val="24"/>
          <w:szCs w:val="24"/>
        </w:rPr>
        <w:tab/>
      </w:r>
      <w:r w:rsidRPr="00C867AE">
        <w:rPr>
          <w:rFonts w:ascii="Calibri" w:eastAsia="Calibri" w:hAnsi="Calibri" w:cs="Times New Roman"/>
          <w:sz w:val="24"/>
          <w:szCs w:val="24"/>
        </w:rPr>
        <w:tab/>
      </w:r>
      <w:r w:rsidRPr="00C867AE">
        <w:rPr>
          <w:rFonts w:ascii="Calibri" w:eastAsia="Calibri" w:hAnsi="Calibri" w:cs="Times New Roman"/>
          <w:sz w:val="24"/>
          <w:szCs w:val="24"/>
        </w:rPr>
        <w:tab/>
      </w:r>
      <w:r w:rsidRPr="00C867AE">
        <w:rPr>
          <w:rFonts w:ascii="Calibri" w:eastAsia="Calibri" w:hAnsi="Calibri" w:cs="Times New Roman"/>
          <w:sz w:val="24"/>
          <w:szCs w:val="24"/>
        </w:rPr>
        <w:tab/>
      </w:r>
      <w:r w:rsidRPr="00C867AE">
        <w:rPr>
          <w:rFonts w:ascii="Calibri" w:eastAsia="Calibri" w:hAnsi="Calibri" w:cs="Times New Roman"/>
          <w:sz w:val="24"/>
          <w:szCs w:val="24"/>
        </w:rPr>
        <w:tab/>
      </w:r>
      <w:r w:rsidRPr="00C867AE">
        <w:rPr>
          <w:rFonts w:ascii="Calibri" w:eastAsia="Calibri" w:hAnsi="Calibri" w:cs="Times New Roman"/>
          <w:sz w:val="24"/>
          <w:szCs w:val="24"/>
        </w:rPr>
        <w:tab/>
      </w:r>
      <w:r w:rsidRPr="00C867AE">
        <w:rPr>
          <w:rFonts w:ascii="Calibri" w:eastAsia="Calibri" w:hAnsi="Calibri" w:cs="Times New Roman"/>
          <w:sz w:val="24"/>
          <w:szCs w:val="24"/>
        </w:rPr>
        <w:tab/>
        <w:t>By_________________________________</w:t>
      </w:r>
    </w:p>
    <w:p w:rsidR="00C867AE" w:rsidRPr="00C867AE" w:rsidRDefault="00C867AE" w:rsidP="00C867AE">
      <w:pPr>
        <w:tabs>
          <w:tab w:val="left" w:pos="0"/>
          <w:tab w:val="left" w:pos="5040"/>
        </w:tabs>
        <w:spacing w:after="0"/>
        <w:rPr>
          <w:rFonts w:ascii="Calibri" w:eastAsia="Calibri" w:hAnsi="Calibri" w:cs="Times New Roman"/>
          <w:sz w:val="24"/>
          <w:szCs w:val="24"/>
        </w:rPr>
      </w:pPr>
      <w:r w:rsidRPr="00C867AE">
        <w:rPr>
          <w:rFonts w:ascii="Calibri" w:eastAsia="Calibri" w:hAnsi="Calibri" w:cs="Times New Roman"/>
          <w:sz w:val="24"/>
          <w:szCs w:val="24"/>
        </w:rPr>
        <w:tab/>
        <w:t xml:space="preserve">Scott Jenkins, Chair </w:t>
      </w:r>
    </w:p>
    <w:p w:rsidR="00C867AE" w:rsidRPr="00C867AE" w:rsidRDefault="00C867AE" w:rsidP="00C867AE">
      <w:pPr>
        <w:tabs>
          <w:tab w:val="left" w:pos="0"/>
          <w:tab w:val="left" w:pos="5040"/>
        </w:tabs>
        <w:spacing w:after="0"/>
        <w:rPr>
          <w:rFonts w:ascii="Calibri" w:eastAsia="Calibri" w:hAnsi="Calibri" w:cs="Times New Roman"/>
          <w:sz w:val="24"/>
          <w:szCs w:val="24"/>
        </w:rPr>
      </w:pPr>
    </w:p>
    <w:p w:rsidR="00C867AE" w:rsidRPr="00C867AE" w:rsidRDefault="00C867AE" w:rsidP="00C867AE">
      <w:pPr>
        <w:tabs>
          <w:tab w:val="left" w:pos="5040"/>
        </w:tabs>
        <w:spacing w:after="0"/>
        <w:ind w:firstLine="5040"/>
        <w:rPr>
          <w:rFonts w:ascii="Calibri" w:eastAsia="Calibri" w:hAnsi="Calibri" w:cs="Times New Roman"/>
          <w:sz w:val="24"/>
          <w:szCs w:val="24"/>
        </w:rPr>
      </w:pPr>
      <w:r w:rsidRPr="00C867AE">
        <w:rPr>
          <w:rFonts w:ascii="Calibri" w:eastAsia="Calibri" w:hAnsi="Calibri" w:cs="Times New Roman"/>
          <w:sz w:val="24"/>
          <w:szCs w:val="24"/>
        </w:rPr>
        <w:t>Commissioner Jenkins    Voted</w:t>
      </w:r>
      <w:r w:rsidRPr="00C867AE">
        <w:rPr>
          <w:rFonts w:ascii="Calibri" w:eastAsia="Calibri" w:hAnsi="Calibri" w:cs="Times New Roman"/>
          <w:sz w:val="24"/>
          <w:szCs w:val="24"/>
          <w:u w:val="single"/>
        </w:rPr>
        <w:tab/>
      </w:r>
      <w:r w:rsidRPr="00C867AE">
        <w:rPr>
          <w:rFonts w:ascii="Calibri" w:eastAsia="Calibri" w:hAnsi="Calibri" w:cs="Times New Roman"/>
          <w:sz w:val="24"/>
          <w:szCs w:val="24"/>
          <w:u w:val="single"/>
        </w:rPr>
        <w:tab/>
      </w:r>
    </w:p>
    <w:p w:rsidR="00C867AE" w:rsidRPr="00C867AE" w:rsidRDefault="00C867AE" w:rsidP="00C867AE">
      <w:pPr>
        <w:tabs>
          <w:tab w:val="left" w:pos="5040"/>
        </w:tabs>
        <w:spacing w:after="0"/>
        <w:ind w:firstLine="5040"/>
        <w:rPr>
          <w:rFonts w:ascii="Calibri" w:eastAsia="Calibri" w:hAnsi="Calibri" w:cs="Times New Roman"/>
          <w:sz w:val="24"/>
          <w:szCs w:val="24"/>
        </w:rPr>
      </w:pPr>
      <w:r w:rsidRPr="00C867AE">
        <w:rPr>
          <w:rFonts w:ascii="Calibri" w:eastAsia="Calibri" w:hAnsi="Calibri" w:cs="Times New Roman"/>
          <w:sz w:val="24"/>
          <w:szCs w:val="24"/>
        </w:rPr>
        <w:t>Commissioner Harvey    Voted</w:t>
      </w:r>
      <w:r w:rsidRPr="00C867AE">
        <w:rPr>
          <w:rFonts w:ascii="Calibri" w:eastAsia="Calibri" w:hAnsi="Calibri" w:cs="Times New Roman"/>
          <w:sz w:val="24"/>
          <w:szCs w:val="24"/>
          <w:u w:val="single"/>
        </w:rPr>
        <w:tab/>
      </w:r>
      <w:r w:rsidRPr="00C867AE">
        <w:rPr>
          <w:rFonts w:ascii="Calibri" w:eastAsia="Calibri" w:hAnsi="Calibri" w:cs="Times New Roman"/>
          <w:sz w:val="24"/>
          <w:szCs w:val="24"/>
          <w:u w:val="single"/>
        </w:rPr>
        <w:tab/>
      </w:r>
    </w:p>
    <w:p w:rsidR="00C867AE" w:rsidRPr="00C867AE" w:rsidRDefault="00C867AE" w:rsidP="00C867AE">
      <w:pPr>
        <w:tabs>
          <w:tab w:val="left" w:pos="5040"/>
        </w:tabs>
        <w:spacing w:after="0"/>
        <w:ind w:firstLine="5040"/>
        <w:rPr>
          <w:rFonts w:ascii="Calibri" w:eastAsia="Calibri" w:hAnsi="Calibri" w:cs="Times New Roman"/>
          <w:sz w:val="24"/>
          <w:szCs w:val="24"/>
          <w:u w:val="single"/>
        </w:rPr>
      </w:pPr>
      <w:r w:rsidRPr="00C867AE">
        <w:rPr>
          <w:rFonts w:ascii="Calibri" w:eastAsia="Calibri" w:hAnsi="Calibri" w:cs="Times New Roman"/>
          <w:sz w:val="24"/>
          <w:szCs w:val="24"/>
        </w:rPr>
        <w:t xml:space="preserve">Commissioner </w:t>
      </w:r>
      <w:proofErr w:type="spellStart"/>
      <w:r w:rsidRPr="00C867AE">
        <w:rPr>
          <w:rFonts w:ascii="Calibri" w:eastAsia="Calibri" w:hAnsi="Calibri" w:cs="Times New Roman"/>
          <w:sz w:val="24"/>
          <w:szCs w:val="24"/>
        </w:rPr>
        <w:t>Froerer</w:t>
      </w:r>
      <w:proofErr w:type="spellEnd"/>
      <w:r w:rsidRPr="00C867AE">
        <w:rPr>
          <w:rFonts w:ascii="Calibri" w:eastAsia="Calibri" w:hAnsi="Calibri" w:cs="Times New Roman"/>
          <w:sz w:val="24"/>
          <w:szCs w:val="24"/>
        </w:rPr>
        <w:t xml:space="preserve">    Voted</w:t>
      </w:r>
      <w:r w:rsidRPr="00C867AE">
        <w:rPr>
          <w:rFonts w:ascii="Calibri" w:eastAsia="Calibri" w:hAnsi="Calibri" w:cs="Times New Roman"/>
          <w:sz w:val="24"/>
          <w:szCs w:val="24"/>
          <w:u w:val="single"/>
        </w:rPr>
        <w:tab/>
      </w:r>
      <w:r w:rsidRPr="00C867AE">
        <w:rPr>
          <w:rFonts w:ascii="Calibri" w:eastAsia="Calibri" w:hAnsi="Calibri" w:cs="Times New Roman"/>
          <w:sz w:val="24"/>
          <w:szCs w:val="24"/>
          <w:u w:val="single"/>
        </w:rPr>
        <w:tab/>
      </w:r>
    </w:p>
    <w:p w:rsidR="00C867AE" w:rsidRPr="00C867AE" w:rsidRDefault="00C867AE" w:rsidP="00C867AE">
      <w:pPr>
        <w:tabs>
          <w:tab w:val="left" w:pos="5040"/>
        </w:tabs>
        <w:spacing w:after="0"/>
        <w:rPr>
          <w:rFonts w:ascii="Calibri" w:eastAsia="Calibri" w:hAnsi="Calibri" w:cs="Times New Roman"/>
          <w:sz w:val="24"/>
          <w:szCs w:val="24"/>
        </w:rPr>
      </w:pPr>
      <w:r w:rsidRPr="00C867AE">
        <w:rPr>
          <w:rFonts w:ascii="Calibri" w:eastAsia="Calibri" w:hAnsi="Calibri" w:cs="Times New Roman"/>
          <w:sz w:val="24"/>
          <w:szCs w:val="24"/>
          <w:lang w:val="en-CA"/>
        </w:rPr>
        <w:fldChar w:fldCharType="begin"/>
      </w:r>
      <w:r w:rsidRPr="00C867AE">
        <w:rPr>
          <w:rFonts w:ascii="Calibri" w:eastAsia="Calibri" w:hAnsi="Calibri" w:cs="Times New Roman"/>
          <w:sz w:val="24"/>
          <w:szCs w:val="24"/>
          <w:lang w:val="en-CA"/>
        </w:rPr>
        <w:instrText xml:space="preserve"> SEQ CHAPTER \h \r 1</w:instrText>
      </w:r>
      <w:r w:rsidRPr="00C867AE">
        <w:rPr>
          <w:rFonts w:ascii="Calibri" w:eastAsia="Calibri" w:hAnsi="Calibri" w:cs="Times New Roman"/>
          <w:sz w:val="24"/>
          <w:szCs w:val="24"/>
          <w:lang w:val="en-CA"/>
        </w:rPr>
        <w:fldChar w:fldCharType="end"/>
      </w:r>
      <w:r w:rsidRPr="00C867AE">
        <w:rPr>
          <w:rFonts w:ascii="Calibri" w:eastAsia="Calibri" w:hAnsi="Calibri" w:cs="Times New Roman"/>
          <w:sz w:val="24"/>
          <w:szCs w:val="24"/>
        </w:rPr>
        <w:t>ATTEST:</w:t>
      </w:r>
    </w:p>
    <w:p w:rsidR="00C867AE" w:rsidRPr="00C867AE" w:rsidRDefault="00C867AE" w:rsidP="00C867AE">
      <w:pPr>
        <w:tabs>
          <w:tab w:val="left" w:pos="5040"/>
        </w:tabs>
        <w:spacing w:after="0"/>
        <w:rPr>
          <w:rFonts w:ascii="Calibri" w:eastAsia="Calibri" w:hAnsi="Calibri" w:cs="Times New Roman"/>
          <w:sz w:val="24"/>
          <w:szCs w:val="24"/>
        </w:rPr>
      </w:pPr>
      <w:r w:rsidRPr="00C867AE">
        <w:rPr>
          <w:rFonts w:ascii="Calibri" w:eastAsia="Calibri" w:hAnsi="Calibri" w:cs="Times New Roman"/>
          <w:sz w:val="24"/>
          <w:szCs w:val="24"/>
        </w:rPr>
        <w:t>_________________________________</w:t>
      </w:r>
    </w:p>
    <w:p w:rsidR="00C867AE" w:rsidRPr="00C867AE" w:rsidRDefault="00C867AE" w:rsidP="00C867AE">
      <w:pPr>
        <w:tabs>
          <w:tab w:val="left" w:pos="5040"/>
        </w:tabs>
        <w:spacing w:after="0"/>
        <w:rPr>
          <w:rFonts w:ascii="Calibri" w:eastAsia="Calibri" w:hAnsi="Calibri" w:cs="Times New Roman"/>
          <w:sz w:val="24"/>
          <w:szCs w:val="24"/>
        </w:rPr>
      </w:pPr>
      <w:r w:rsidRPr="00C867AE">
        <w:rPr>
          <w:rFonts w:ascii="Calibri" w:eastAsia="Calibri" w:hAnsi="Calibri" w:cs="Times New Roman"/>
          <w:sz w:val="24"/>
          <w:szCs w:val="24"/>
        </w:rPr>
        <w:t xml:space="preserve">Ricky Hatch, CPA </w:t>
      </w:r>
    </w:p>
    <w:p w:rsidR="00C867AE" w:rsidRPr="00C867AE" w:rsidRDefault="00C867AE" w:rsidP="00C867AE">
      <w:pPr>
        <w:tabs>
          <w:tab w:val="left" w:pos="5040"/>
        </w:tabs>
        <w:spacing w:after="0"/>
        <w:rPr>
          <w:rFonts w:ascii="Calibri" w:eastAsia="Calibri" w:hAnsi="Calibri" w:cs="Times New Roman"/>
        </w:rPr>
      </w:pPr>
      <w:r w:rsidRPr="00C867AE">
        <w:rPr>
          <w:rFonts w:ascii="Calibri" w:eastAsia="Calibri" w:hAnsi="Calibri" w:cs="Times New Roman"/>
          <w:sz w:val="24"/>
          <w:szCs w:val="24"/>
        </w:rPr>
        <w:t>Weber County Clerk</w:t>
      </w:r>
      <w:r w:rsidRPr="00C867AE">
        <w:rPr>
          <w:rFonts w:ascii="Calibri" w:eastAsia="Calibri" w:hAnsi="Calibri" w:cs="Times New Roman"/>
          <w:sz w:val="24"/>
          <w:szCs w:val="24"/>
          <w:lang w:val="en-CA"/>
        </w:rPr>
        <w:fldChar w:fldCharType="begin"/>
      </w:r>
      <w:r w:rsidRPr="00C867AE">
        <w:rPr>
          <w:rFonts w:ascii="Calibri" w:eastAsia="Calibri" w:hAnsi="Calibri" w:cs="Times New Roman"/>
          <w:sz w:val="24"/>
          <w:szCs w:val="24"/>
          <w:lang w:val="en-CA"/>
        </w:rPr>
        <w:instrText xml:space="preserve"> SEQ CHAPTER \h \r 1</w:instrText>
      </w:r>
      <w:r w:rsidRPr="00C867AE">
        <w:rPr>
          <w:rFonts w:ascii="Calibri" w:eastAsia="Calibri" w:hAnsi="Calibri" w:cs="Times New Roman"/>
          <w:sz w:val="24"/>
          <w:szCs w:val="24"/>
          <w:lang w:val="en-CA"/>
        </w:rPr>
        <w:fldChar w:fldCharType="end"/>
      </w:r>
      <w:r w:rsidRPr="00C867AE">
        <w:rPr>
          <w:rFonts w:ascii="Calibri" w:eastAsia="Calibri" w:hAnsi="Calibri" w:cs="Times New Roman"/>
          <w:sz w:val="24"/>
          <w:szCs w:val="24"/>
        </w:rPr>
        <w:t xml:space="preserve"> </w:t>
      </w:r>
    </w:p>
    <w:p w:rsidR="007915E3" w:rsidRDefault="007915E3" w:rsidP="007915E3">
      <w:pPr>
        <w:spacing w:after="200" w:line="276" w:lineRule="auto"/>
        <w:rPr>
          <w:sz w:val="36"/>
          <w:u w:val="single"/>
        </w:rPr>
      </w:pPr>
      <w:r>
        <w:rPr>
          <w:sz w:val="36"/>
          <w:u w:val="single"/>
        </w:rPr>
        <w:br w:type="page"/>
      </w:r>
    </w:p>
    <w:p w:rsidR="007915E3" w:rsidRPr="00A4677C" w:rsidRDefault="007915E3" w:rsidP="007915E3">
      <w:pPr>
        <w:jc w:val="center"/>
        <w:rPr>
          <w:sz w:val="36"/>
          <w:u w:val="single"/>
        </w:rPr>
      </w:pPr>
      <w:r w:rsidRPr="00A4677C">
        <w:rPr>
          <w:sz w:val="36"/>
          <w:u w:val="single"/>
        </w:rPr>
        <w:lastRenderedPageBreak/>
        <w:t>Exhibit A</w:t>
      </w:r>
    </w:p>
    <w:p w:rsidR="007915E3" w:rsidRDefault="00DB52B1" w:rsidP="007915E3">
      <w:pPr>
        <w:jc w:val="center"/>
        <w:rPr>
          <w:sz w:val="36"/>
        </w:rPr>
      </w:pPr>
      <w:r>
        <w:rPr>
          <w:noProof/>
        </w:rPr>
        <w:drawing>
          <wp:inline distT="0" distB="0" distL="0" distR="0" wp14:anchorId="00E60A18" wp14:editId="7091808C">
            <wp:extent cx="6858000" cy="46462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858000" cy="4646295"/>
                    </a:xfrm>
                    <a:prstGeom prst="rect">
                      <a:avLst/>
                    </a:prstGeom>
                  </pic:spPr>
                </pic:pic>
              </a:graphicData>
            </a:graphic>
          </wp:inline>
        </w:drawing>
      </w:r>
    </w:p>
    <w:p w:rsidR="00461078" w:rsidRDefault="00BF7A9C" w:rsidP="00461078">
      <w:pPr>
        <w:jc w:val="right"/>
        <w:rPr>
          <w:sz w:val="36"/>
        </w:rPr>
      </w:pPr>
      <w:r>
        <w:rPr>
          <w:sz w:val="36"/>
        </w:rPr>
        <w:t>Recorder’s plat 23-026</w:t>
      </w:r>
    </w:p>
    <w:p w:rsidR="008A010F" w:rsidRDefault="008A010F"/>
    <w:sectPr w:rsidR="008A010F" w:rsidSect="007915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QwNjGxsDSyNDAxMLdU0lEKTi0uzszPAykwrwUAgTo6wywAAAA="/>
  </w:docVars>
  <w:rsids>
    <w:rsidRoot w:val="007915E3"/>
    <w:rsid w:val="0043454D"/>
    <w:rsid w:val="00461078"/>
    <w:rsid w:val="00555216"/>
    <w:rsid w:val="006C065A"/>
    <w:rsid w:val="007915E3"/>
    <w:rsid w:val="00875420"/>
    <w:rsid w:val="008A010F"/>
    <w:rsid w:val="00AA4A50"/>
    <w:rsid w:val="00BF7A9C"/>
    <w:rsid w:val="00C867AE"/>
    <w:rsid w:val="00D325B7"/>
    <w:rsid w:val="00DB52B1"/>
    <w:rsid w:val="00F53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FF4FC"/>
  <w15:chartTrackingRefBased/>
  <w15:docId w15:val="{F6432515-6ECC-4EFF-BA63-3A0C3AA5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0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0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Lleverino,Felix</dc:creator>
  <cp:keywords/>
  <dc:description/>
  <cp:lastModifiedBy>Lleverino,Felix</cp:lastModifiedBy>
  <cp:revision>5</cp:revision>
  <dcterms:created xsi:type="dcterms:W3CDTF">2022-04-18T17:04:00Z</dcterms:created>
  <dcterms:modified xsi:type="dcterms:W3CDTF">2022-07-08T20:20:00Z</dcterms:modified>
</cp:coreProperties>
</file>