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7D" w:rsidRDefault="003A71CD" w:rsidP="003A71CD">
      <w:pPr>
        <w:jc w:val="center"/>
        <w:rPr>
          <w:sz w:val="52"/>
          <w:szCs w:val="52"/>
          <w:u w:val="single"/>
        </w:rPr>
      </w:pPr>
      <w:r w:rsidRPr="003C4928">
        <w:rPr>
          <w:sz w:val="52"/>
          <w:szCs w:val="52"/>
          <w:u w:val="single"/>
        </w:rPr>
        <w:t>Exhibit A</w:t>
      </w:r>
    </w:p>
    <w:p w:rsidR="00686524" w:rsidRPr="00686524" w:rsidRDefault="00686524" w:rsidP="003A71CD">
      <w:pPr>
        <w:jc w:val="center"/>
        <w:rPr>
          <w:sz w:val="24"/>
          <w:szCs w:val="24"/>
          <w:u w:val="single"/>
        </w:rPr>
      </w:pPr>
      <w:r w:rsidRPr="00686524">
        <w:rPr>
          <w:sz w:val="24"/>
          <w:szCs w:val="24"/>
          <w:u w:val="single"/>
        </w:rPr>
        <w:t>Sta</w:t>
      </w:r>
      <w:r w:rsidR="00407F2D">
        <w:rPr>
          <w:sz w:val="24"/>
          <w:szCs w:val="24"/>
          <w:u w:val="single"/>
        </w:rPr>
        <w:t>ff’s Response to State Code Req</w:t>
      </w:r>
      <w:r w:rsidRPr="00686524">
        <w:rPr>
          <w:sz w:val="24"/>
          <w:szCs w:val="24"/>
          <w:u w:val="single"/>
        </w:rPr>
        <w:t>u</w:t>
      </w:r>
      <w:r w:rsidR="00407F2D">
        <w:rPr>
          <w:sz w:val="24"/>
          <w:szCs w:val="24"/>
          <w:u w:val="single"/>
        </w:rPr>
        <w:t>i</w:t>
      </w:r>
      <w:r w:rsidRPr="00686524">
        <w:rPr>
          <w:sz w:val="24"/>
          <w:szCs w:val="24"/>
          <w:u w:val="single"/>
        </w:rPr>
        <w:t>rements</w:t>
      </w:r>
    </w:p>
    <w:p w:rsidR="00EB2D7D" w:rsidRDefault="003A71CD" w:rsidP="00686524">
      <w:pPr>
        <w:spacing w:after="0" w:line="240" w:lineRule="auto"/>
        <w:jc w:val="both"/>
        <w:rPr>
          <w:sz w:val="20"/>
          <w:szCs w:val="20"/>
        </w:rPr>
      </w:pPr>
      <w:r w:rsidRPr="00686524">
        <w:rPr>
          <w:sz w:val="20"/>
          <w:szCs w:val="20"/>
        </w:rPr>
        <w:t>The appeal has stated that a notice was not received pursuant to the following portions of the Utah State Code (17-27a-204, 205, 206, and 207).</w:t>
      </w:r>
      <w:r w:rsidR="00407F2D">
        <w:rPr>
          <w:sz w:val="20"/>
          <w:szCs w:val="20"/>
        </w:rPr>
        <w:t xml:space="preserve"> However, appellant’s representative does not mention 17-27a-209 which </w:t>
      </w:r>
      <w:r w:rsidR="00EB2D7D">
        <w:rPr>
          <w:sz w:val="20"/>
          <w:szCs w:val="20"/>
        </w:rPr>
        <w:t>states:</w:t>
      </w:r>
    </w:p>
    <w:p w:rsidR="00EB2D7D" w:rsidRDefault="00EB2D7D" w:rsidP="00686524">
      <w:pPr>
        <w:spacing w:after="0" w:line="240" w:lineRule="auto"/>
        <w:jc w:val="both"/>
        <w:rPr>
          <w:sz w:val="20"/>
          <w:szCs w:val="20"/>
        </w:rPr>
      </w:pPr>
    </w:p>
    <w:p w:rsidR="00EB2D7D" w:rsidRDefault="00EB2D7D" w:rsidP="00686524">
      <w:pPr>
        <w:spacing w:after="0" w:line="240" w:lineRule="auto"/>
        <w:jc w:val="both"/>
        <w:rPr>
          <w:sz w:val="20"/>
          <w:szCs w:val="20"/>
        </w:rPr>
      </w:pPr>
      <w:proofErr w:type="gramStart"/>
      <w:r>
        <w:rPr>
          <w:sz w:val="20"/>
          <w:szCs w:val="20"/>
        </w:rPr>
        <w:t>17-27a-209 Notice Challenge.</w:t>
      </w:r>
      <w:proofErr w:type="gramEnd"/>
    </w:p>
    <w:p w:rsidR="00EB2D7D" w:rsidRDefault="00EB2D7D" w:rsidP="00EB2D7D">
      <w:pPr>
        <w:spacing w:after="0" w:line="240" w:lineRule="auto"/>
        <w:ind w:left="720"/>
        <w:jc w:val="both"/>
        <w:rPr>
          <w:sz w:val="20"/>
          <w:szCs w:val="20"/>
        </w:rPr>
      </w:pPr>
      <w:r w:rsidRPr="00EB2D7D">
        <w:rPr>
          <w:sz w:val="20"/>
          <w:szCs w:val="20"/>
        </w:rPr>
        <w:t>If notice given under authority of this part is not challenged under Section</w:t>
      </w:r>
      <w:r>
        <w:rPr>
          <w:sz w:val="20"/>
          <w:szCs w:val="20"/>
        </w:rPr>
        <w:t xml:space="preserve"> 17-27a-801 </w:t>
      </w:r>
      <w:r w:rsidRPr="00EB2D7D">
        <w:rPr>
          <w:sz w:val="20"/>
          <w:szCs w:val="20"/>
        </w:rPr>
        <w:t>within 30 days after the meeting or action for which notice is given, the notice is considered adequate and proper.</w:t>
      </w:r>
    </w:p>
    <w:p w:rsidR="00EB2D7D" w:rsidRDefault="00EB2D7D" w:rsidP="00686524">
      <w:pPr>
        <w:spacing w:after="0" w:line="240" w:lineRule="auto"/>
        <w:jc w:val="both"/>
        <w:rPr>
          <w:sz w:val="20"/>
          <w:szCs w:val="20"/>
        </w:rPr>
      </w:pPr>
    </w:p>
    <w:p w:rsidR="003A71CD" w:rsidRPr="00686524" w:rsidRDefault="00EB2D7D" w:rsidP="00686524">
      <w:pPr>
        <w:spacing w:after="0" w:line="240" w:lineRule="auto"/>
        <w:jc w:val="both"/>
        <w:rPr>
          <w:sz w:val="20"/>
          <w:szCs w:val="20"/>
        </w:rPr>
      </w:pPr>
      <w:r>
        <w:rPr>
          <w:sz w:val="20"/>
          <w:szCs w:val="20"/>
        </w:rPr>
        <w:t>As clearly 30 days has passed since the March and April 2012 hearings, and that notices were sent in a timely manner, a notice of decision written, and minutes of the meeting approved; this challenge should be denied as it is untimely.</w:t>
      </w:r>
      <w:r w:rsidR="000B1CEE">
        <w:rPr>
          <w:sz w:val="20"/>
          <w:szCs w:val="20"/>
        </w:rPr>
        <w:t xml:space="preserve"> Staff below has addressed the applicability of claims.</w:t>
      </w:r>
    </w:p>
    <w:p w:rsidR="003A71CD" w:rsidRPr="00686524" w:rsidRDefault="003A71CD" w:rsidP="00686524">
      <w:pPr>
        <w:spacing w:after="0" w:line="240" w:lineRule="auto"/>
        <w:jc w:val="both"/>
        <w:rPr>
          <w:sz w:val="20"/>
          <w:szCs w:val="20"/>
        </w:rPr>
      </w:pPr>
    </w:p>
    <w:p w:rsidR="003A71CD" w:rsidRPr="00686524" w:rsidRDefault="003A71CD" w:rsidP="00686524">
      <w:pPr>
        <w:spacing w:after="0" w:line="240" w:lineRule="auto"/>
        <w:jc w:val="both"/>
        <w:rPr>
          <w:sz w:val="20"/>
          <w:szCs w:val="20"/>
        </w:rPr>
      </w:pPr>
      <w:r w:rsidRPr="00686524">
        <w:rPr>
          <w:sz w:val="20"/>
          <w:szCs w:val="20"/>
        </w:rPr>
        <w:t xml:space="preserve">17-27a-204 </w:t>
      </w:r>
      <w:r w:rsidR="00686524">
        <w:rPr>
          <w:sz w:val="20"/>
          <w:szCs w:val="20"/>
        </w:rPr>
        <w:t>sets</w:t>
      </w:r>
      <w:r w:rsidRPr="00686524">
        <w:rPr>
          <w:sz w:val="20"/>
          <w:szCs w:val="20"/>
        </w:rPr>
        <w:t xml:space="preserve"> standards regarding notice</w:t>
      </w:r>
      <w:r w:rsidR="00686524">
        <w:rPr>
          <w:sz w:val="20"/>
          <w:szCs w:val="20"/>
        </w:rPr>
        <w:t>s</w:t>
      </w:r>
      <w:r w:rsidRPr="00686524">
        <w:rPr>
          <w:sz w:val="20"/>
          <w:szCs w:val="20"/>
        </w:rPr>
        <w:t xml:space="preserve"> of public hearings to consider changes to the General Plan</w:t>
      </w:r>
      <w:r w:rsidR="00407F2D">
        <w:rPr>
          <w:sz w:val="20"/>
          <w:szCs w:val="20"/>
        </w:rPr>
        <w:t>. C</w:t>
      </w:r>
      <w:r w:rsidRPr="00686524">
        <w:rPr>
          <w:sz w:val="20"/>
          <w:szCs w:val="20"/>
        </w:rPr>
        <w:t xml:space="preserve">onditional uses, PRUD’s or site plan approvals </w:t>
      </w:r>
      <w:r w:rsidR="00407F2D">
        <w:rPr>
          <w:sz w:val="20"/>
          <w:szCs w:val="20"/>
        </w:rPr>
        <w:t>are not</w:t>
      </w:r>
      <w:r w:rsidRPr="00686524">
        <w:rPr>
          <w:sz w:val="20"/>
          <w:szCs w:val="20"/>
        </w:rPr>
        <w:t xml:space="preserve"> modifications to the General Plan, 17-27a-204 is therefore </w:t>
      </w:r>
      <w:r w:rsidRPr="00686524">
        <w:rPr>
          <w:sz w:val="20"/>
          <w:szCs w:val="20"/>
          <w:u w:val="single"/>
        </w:rPr>
        <w:t>not applicable</w:t>
      </w:r>
      <w:r w:rsidRPr="00686524">
        <w:rPr>
          <w:sz w:val="20"/>
          <w:szCs w:val="20"/>
        </w:rPr>
        <w:t>.</w:t>
      </w:r>
    </w:p>
    <w:p w:rsidR="003A71CD" w:rsidRPr="00686524" w:rsidRDefault="003A71CD" w:rsidP="00686524">
      <w:pPr>
        <w:spacing w:after="0" w:line="240" w:lineRule="auto"/>
        <w:jc w:val="both"/>
        <w:rPr>
          <w:sz w:val="20"/>
          <w:szCs w:val="20"/>
        </w:rPr>
      </w:pPr>
    </w:p>
    <w:p w:rsidR="003A71CD" w:rsidRPr="00686524" w:rsidRDefault="003A71CD" w:rsidP="00686524">
      <w:pPr>
        <w:spacing w:after="0" w:line="240" w:lineRule="auto"/>
        <w:jc w:val="both"/>
        <w:rPr>
          <w:sz w:val="20"/>
          <w:szCs w:val="20"/>
        </w:rPr>
      </w:pPr>
      <w:r w:rsidRPr="00686524">
        <w:rPr>
          <w:sz w:val="20"/>
          <w:szCs w:val="20"/>
        </w:rPr>
        <w:t xml:space="preserve">17-27a-205 </w:t>
      </w:r>
      <w:r w:rsidR="00407F2D">
        <w:rPr>
          <w:sz w:val="20"/>
          <w:szCs w:val="20"/>
        </w:rPr>
        <w:t>sets</w:t>
      </w:r>
      <w:r w:rsidRPr="00686524">
        <w:rPr>
          <w:sz w:val="20"/>
          <w:szCs w:val="20"/>
        </w:rPr>
        <w:t xml:space="preserve"> standards regarding notice</w:t>
      </w:r>
      <w:r w:rsidR="00407F2D">
        <w:rPr>
          <w:sz w:val="20"/>
          <w:szCs w:val="20"/>
        </w:rPr>
        <w:t>s</w:t>
      </w:r>
      <w:r w:rsidRPr="00686524">
        <w:rPr>
          <w:sz w:val="20"/>
          <w:szCs w:val="20"/>
        </w:rPr>
        <w:t xml:space="preserve"> of public hearings to consider changes to the land use code</w:t>
      </w:r>
      <w:r w:rsidR="00407F2D">
        <w:rPr>
          <w:sz w:val="20"/>
          <w:szCs w:val="20"/>
        </w:rPr>
        <w:t>. C</w:t>
      </w:r>
      <w:r w:rsidRPr="00686524">
        <w:rPr>
          <w:sz w:val="20"/>
          <w:szCs w:val="20"/>
        </w:rPr>
        <w:t xml:space="preserve">onditional uses, PRUD’s or site plan approvals </w:t>
      </w:r>
      <w:r w:rsidR="00407F2D">
        <w:rPr>
          <w:sz w:val="20"/>
          <w:szCs w:val="20"/>
        </w:rPr>
        <w:t>are not</w:t>
      </w:r>
      <w:r w:rsidRPr="00686524">
        <w:rPr>
          <w:sz w:val="20"/>
          <w:szCs w:val="20"/>
        </w:rPr>
        <w:t xml:space="preserve"> modifications to the land use code, 17-27a-205 is therefore also </w:t>
      </w:r>
      <w:r w:rsidRPr="00686524">
        <w:rPr>
          <w:sz w:val="20"/>
          <w:szCs w:val="20"/>
          <w:u w:val="single"/>
        </w:rPr>
        <w:t>not applicable</w:t>
      </w:r>
      <w:r w:rsidRPr="00686524">
        <w:rPr>
          <w:sz w:val="20"/>
          <w:szCs w:val="20"/>
        </w:rPr>
        <w:t>.</w:t>
      </w:r>
    </w:p>
    <w:p w:rsidR="003A71CD" w:rsidRPr="00686524" w:rsidRDefault="003A71CD" w:rsidP="00686524">
      <w:pPr>
        <w:spacing w:after="0" w:line="240" w:lineRule="auto"/>
        <w:jc w:val="both"/>
        <w:rPr>
          <w:sz w:val="20"/>
          <w:szCs w:val="20"/>
        </w:rPr>
      </w:pPr>
    </w:p>
    <w:p w:rsidR="003A71CD" w:rsidRPr="00686524" w:rsidRDefault="003A71CD" w:rsidP="00686524">
      <w:pPr>
        <w:spacing w:after="0" w:line="240" w:lineRule="auto"/>
        <w:jc w:val="both"/>
        <w:rPr>
          <w:sz w:val="20"/>
          <w:szCs w:val="20"/>
        </w:rPr>
      </w:pPr>
      <w:r w:rsidRPr="00686524">
        <w:rPr>
          <w:sz w:val="20"/>
          <w:szCs w:val="20"/>
        </w:rPr>
        <w:t xml:space="preserve">17-27a-207 </w:t>
      </w:r>
      <w:r w:rsidR="00407F2D">
        <w:rPr>
          <w:sz w:val="20"/>
          <w:szCs w:val="20"/>
        </w:rPr>
        <w:t>sets</w:t>
      </w:r>
      <w:r w:rsidRPr="00686524">
        <w:rPr>
          <w:sz w:val="20"/>
          <w:szCs w:val="20"/>
        </w:rPr>
        <w:t xml:space="preserve"> standards regarding notice</w:t>
      </w:r>
      <w:r w:rsidR="00407F2D">
        <w:rPr>
          <w:sz w:val="20"/>
          <w:szCs w:val="20"/>
        </w:rPr>
        <w:t>s</w:t>
      </w:r>
      <w:r w:rsidRPr="00686524">
        <w:rPr>
          <w:rFonts w:ascii="Arial" w:hAnsi="Arial" w:cs="Arial"/>
          <w:bCs/>
          <w:color w:val="222222"/>
          <w:sz w:val="20"/>
          <w:szCs w:val="20"/>
          <w:shd w:val="clear" w:color="auto" w:fill="FFFFFF"/>
        </w:rPr>
        <w:t xml:space="preserve"> </w:t>
      </w:r>
      <w:r w:rsidRPr="00686524">
        <w:rPr>
          <w:bCs/>
          <w:sz w:val="20"/>
          <w:szCs w:val="20"/>
        </w:rPr>
        <w:t xml:space="preserve">for an amendment to a subdivision and only applies to residents who own property within that subdivision, of which Marion Martin </w:t>
      </w:r>
      <w:r w:rsidR="00863E12">
        <w:rPr>
          <w:bCs/>
          <w:sz w:val="20"/>
          <w:szCs w:val="20"/>
        </w:rPr>
        <w:t>is not an owner in the subdivision</w:t>
      </w:r>
      <w:r w:rsidR="00407F2D">
        <w:rPr>
          <w:bCs/>
          <w:sz w:val="20"/>
          <w:szCs w:val="20"/>
        </w:rPr>
        <w:t>.</w:t>
      </w:r>
      <w:r w:rsidR="00407F2D">
        <w:rPr>
          <w:sz w:val="20"/>
          <w:szCs w:val="20"/>
        </w:rPr>
        <w:t xml:space="preserve"> 17-27a-207</w:t>
      </w:r>
      <w:r w:rsidRPr="00686524">
        <w:rPr>
          <w:sz w:val="20"/>
          <w:szCs w:val="20"/>
        </w:rPr>
        <w:t xml:space="preserve"> is therefore also </w:t>
      </w:r>
      <w:r w:rsidRPr="00686524">
        <w:rPr>
          <w:sz w:val="20"/>
          <w:szCs w:val="20"/>
          <w:u w:val="single"/>
        </w:rPr>
        <w:t>not applicable</w:t>
      </w:r>
      <w:r w:rsidRPr="00686524">
        <w:rPr>
          <w:sz w:val="20"/>
          <w:szCs w:val="20"/>
        </w:rPr>
        <w:t>.</w:t>
      </w:r>
    </w:p>
    <w:p w:rsidR="003A71CD" w:rsidRPr="00686524" w:rsidRDefault="003A71CD" w:rsidP="00686524">
      <w:pPr>
        <w:spacing w:after="0" w:line="240" w:lineRule="auto"/>
        <w:jc w:val="both"/>
        <w:rPr>
          <w:sz w:val="20"/>
          <w:szCs w:val="20"/>
        </w:rPr>
      </w:pPr>
    </w:p>
    <w:p w:rsidR="003A71CD" w:rsidRPr="00686524" w:rsidRDefault="003A71CD" w:rsidP="00686524">
      <w:pPr>
        <w:spacing w:after="0" w:line="240" w:lineRule="auto"/>
        <w:jc w:val="both"/>
        <w:rPr>
          <w:sz w:val="20"/>
          <w:szCs w:val="20"/>
        </w:rPr>
      </w:pPr>
      <w:r w:rsidRPr="00686524">
        <w:rPr>
          <w:sz w:val="20"/>
          <w:szCs w:val="20"/>
        </w:rPr>
        <w:t>17-27a-206 however does apply, it states:</w:t>
      </w:r>
    </w:p>
    <w:p w:rsidR="003A71CD" w:rsidRPr="00686524" w:rsidRDefault="003A71CD" w:rsidP="00686524">
      <w:pPr>
        <w:spacing w:after="0" w:line="240" w:lineRule="auto"/>
        <w:jc w:val="both"/>
        <w:rPr>
          <w:sz w:val="20"/>
          <w:szCs w:val="20"/>
        </w:rPr>
      </w:pPr>
      <w:r w:rsidRPr="00686524">
        <w:rPr>
          <w:sz w:val="20"/>
          <w:szCs w:val="20"/>
        </w:rPr>
        <w:tab/>
      </w:r>
      <w:proofErr w:type="gramStart"/>
      <w:r w:rsidRPr="00686524">
        <w:rPr>
          <w:b/>
          <w:bCs/>
          <w:sz w:val="20"/>
          <w:szCs w:val="20"/>
        </w:rPr>
        <w:t>17-27a-206.</w:t>
      </w:r>
      <w:r w:rsidRPr="00686524">
        <w:rPr>
          <w:sz w:val="20"/>
          <w:szCs w:val="20"/>
        </w:rPr>
        <w:t xml:space="preserve"> </w:t>
      </w:r>
      <w:r w:rsidRPr="00686524">
        <w:rPr>
          <w:b/>
          <w:bCs/>
          <w:sz w:val="20"/>
          <w:szCs w:val="20"/>
        </w:rPr>
        <w:t>Third party notice.</w:t>
      </w:r>
      <w:proofErr w:type="gramEnd"/>
    </w:p>
    <w:p w:rsidR="003A71CD" w:rsidRPr="00686524" w:rsidRDefault="003A71CD" w:rsidP="00686524">
      <w:pPr>
        <w:spacing w:after="0" w:line="240" w:lineRule="auto"/>
        <w:ind w:left="720" w:firstLine="720"/>
        <w:jc w:val="both"/>
        <w:rPr>
          <w:sz w:val="20"/>
          <w:szCs w:val="20"/>
        </w:rPr>
      </w:pPr>
      <w:r w:rsidRPr="00686524">
        <w:rPr>
          <w:sz w:val="20"/>
          <w:szCs w:val="20"/>
        </w:rPr>
        <w:t>(1) If a county requires notice to adjacent property owners, the county shall:</w:t>
      </w:r>
    </w:p>
    <w:p w:rsidR="003A71CD" w:rsidRPr="00686524" w:rsidRDefault="003A71CD" w:rsidP="00686524">
      <w:pPr>
        <w:spacing w:after="0" w:line="240" w:lineRule="auto"/>
        <w:ind w:left="2160"/>
        <w:jc w:val="both"/>
        <w:rPr>
          <w:sz w:val="20"/>
          <w:szCs w:val="20"/>
        </w:rPr>
      </w:pPr>
      <w:r w:rsidRPr="00686524">
        <w:rPr>
          <w:sz w:val="20"/>
          <w:szCs w:val="20"/>
        </w:rPr>
        <w:t xml:space="preserve">(a) </w:t>
      </w:r>
      <w:proofErr w:type="gramStart"/>
      <w:r w:rsidRPr="00686524">
        <w:rPr>
          <w:sz w:val="20"/>
          <w:szCs w:val="20"/>
        </w:rPr>
        <w:t>mail</w:t>
      </w:r>
      <w:proofErr w:type="gramEnd"/>
      <w:r w:rsidRPr="00686524">
        <w:rPr>
          <w:sz w:val="20"/>
          <w:szCs w:val="20"/>
        </w:rPr>
        <w:t xml:space="preserve"> notice to the record owner of each parcel within parameters specified by county ordinance; or</w:t>
      </w:r>
    </w:p>
    <w:p w:rsidR="003A71CD" w:rsidRPr="00686524" w:rsidRDefault="003A71CD" w:rsidP="00686524">
      <w:pPr>
        <w:spacing w:after="0"/>
        <w:ind w:left="2160"/>
        <w:rPr>
          <w:sz w:val="20"/>
          <w:szCs w:val="20"/>
        </w:rPr>
      </w:pPr>
      <w:r w:rsidRPr="00686524">
        <w:rPr>
          <w:sz w:val="20"/>
          <w:szCs w:val="20"/>
        </w:rPr>
        <w:t xml:space="preserve">(b) </w:t>
      </w:r>
      <w:proofErr w:type="gramStart"/>
      <w:r w:rsidRPr="00686524">
        <w:rPr>
          <w:sz w:val="20"/>
          <w:szCs w:val="20"/>
        </w:rPr>
        <w:t>post</w:t>
      </w:r>
      <w:proofErr w:type="gramEnd"/>
      <w:r w:rsidRPr="00686524">
        <w:rPr>
          <w:sz w:val="20"/>
          <w:szCs w:val="20"/>
        </w:rPr>
        <w:t xml:space="preserve"> notice on the property with a sign of sufficient size, durability, print quality, and location that is reasonably calculated to give notice to passers-by.</w:t>
      </w:r>
    </w:p>
    <w:p w:rsidR="003A71CD" w:rsidRPr="00686524" w:rsidRDefault="003A71CD" w:rsidP="00686524">
      <w:pPr>
        <w:spacing w:after="0"/>
        <w:ind w:left="1440"/>
        <w:rPr>
          <w:sz w:val="20"/>
          <w:szCs w:val="20"/>
        </w:rPr>
      </w:pPr>
      <w:r w:rsidRPr="00686524">
        <w:rPr>
          <w:sz w:val="20"/>
          <w:szCs w:val="20"/>
        </w:rPr>
        <w:t>(2) If a county mails notice to third party property owners under Subsection (1), it shall mail equivalent notice to property owners within an adjacent jurisdiction.</w:t>
      </w:r>
    </w:p>
    <w:p w:rsidR="003A71CD" w:rsidRPr="00686524" w:rsidRDefault="003A71CD" w:rsidP="00686524">
      <w:pPr>
        <w:pStyle w:val="ListParagraph"/>
        <w:spacing w:after="0"/>
        <w:ind w:left="1440"/>
        <w:rPr>
          <w:szCs w:val="20"/>
        </w:rPr>
      </w:pPr>
    </w:p>
    <w:p w:rsidR="003A71CD" w:rsidRPr="00686524" w:rsidRDefault="003A71CD" w:rsidP="00686524">
      <w:pPr>
        <w:pStyle w:val="ListParagraph"/>
        <w:spacing w:after="0"/>
        <w:ind w:left="1440"/>
        <w:rPr>
          <w:szCs w:val="20"/>
        </w:rPr>
      </w:pPr>
      <w:r w:rsidRPr="00686524">
        <w:rPr>
          <w:szCs w:val="20"/>
        </w:rPr>
        <w:t>In this case Weber County does have a standard in the subdivision section of the Weber County Land Use Code which states:</w:t>
      </w:r>
    </w:p>
    <w:p w:rsidR="003A71CD" w:rsidRPr="00686524" w:rsidRDefault="003A71CD" w:rsidP="00686524">
      <w:pPr>
        <w:pStyle w:val="ListParagraph"/>
        <w:spacing w:after="0"/>
        <w:ind w:left="2160"/>
        <w:rPr>
          <w:szCs w:val="20"/>
        </w:rPr>
      </w:pPr>
      <w:proofErr w:type="gramStart"/>
      <w:r w:rsidRPr="00686524">
        <w:rPr>
          <w:szCs w:val="20"/>
        </w:rPr>
        <w:t>Sec. 106-1-6(b)</w:t>
      </w:r>
      <w:r w:rsidRPr="00686524">
        <w:rPr>
          <w:rFonts w:ascii="Arial" w:eastAsia="Times New Roman" w:hAnsi="Arial" w:cs="Arial"/>
          <w:color w:val="000000"/>
          <w:szCs w:val="20"/>
        </w:rPr>
        <w:t xml:space="preserve"> </w:t>
      </w:r>
      <w:r w:rsidRPr="00686524">
        <w:rPr>
          <w:szCs w:val="20"/>
        </w:rPr>
        <w:t>Public Notice.</w:t>
      </w:r>
      <w:proofErr w:type="gramEnd"/>
      <w:r w:rsidRPr="00686524">
        <w:rPr>
          <w:szCs w:val="20"/>
        </w:rPr>
        <w:t xml:space="preserve"> Notice of the proposed subdivision shall be mailed not less than seven calendar days before the Planning Commissions’ public hearing on the proposed subdivision to the record owner of each parcel within 500 feet of the property proposed for subdivision; or posted not less than three calendar days before the public hearing, on the property proposed for subdivision, in a visible location, with a sign of sufficient size, durability, and print quality that is reasonably calculated to give notice to passers-by.</w:t>
      </w:r>
    </w:p>
    <w:p w:rsidR="003A71CD" w:rsidRDefault="003A71CD" w:rsidP="00686524">
      <w:pPr>
        <w:pStyle w:val="ListParagraph"/>
        <w:spacing w:after="0"/>
        <w:ind w:left="1440"/>
        <w:rPr>
          <w:szCs w:val="20"/>
        </w:rPr>
      </w:pPr>
    </w:p>
    <w:p w:rsidR="000B1CEE" w:rsidRDefault="000B1CEE" w:rsidP="00686524">
      <w:pPr>
        <w:pStyle w:val="ListParagraph"/>
        <w:spacing w:after="0"/>
        <w:ind w:left="1440"/>
        <w:rPr>
          <w:szCs w:val="20"/>
        </w:rPr>
      </w:pPr>
    </w:p>
    <w:p w:rsidR="000B1CEE" w:rsidRPr="00686524" w:rsidRDefault="000B1CEE" w:rsidP="00686524">
      <w:pPr>
        <w:pStyle w:val="ListParagraph"/>
        <w:spacing w:after="0"/>
        <w:ind w:left="1440"/>
        <w:rPr>
          <w:szCs w:val="20"/>
        </w:rPr>
      </w:pPr>
    </w:p>
    <w:p w:rsidR="003A71CD" w:rsidRPr="00686524" w:rsidRDefault="003A71CD" w:rsidP="00686524">
      <w:pPr>
        <w:pStyle w:val="ListParagraph"/>
        <w:spacing w:after="0"/>
        <w:ind w:left="1440"/>
        <w:rPr>
          <w:szCs w:val="20"/>
        </w:rPr>
      </w:pPr>
      <w:r w:rsidRPr="00686524">
        <w:rPr>
          <w:szCs w:val="20"/>
        </w:rPr>
        <w:lastRenderedPageBreak/>
        <w:t>Notices and maps were created, printed and sent to property owners within 500 feet for the following meetings:</w:t>
      </w:r>
    </w:p>
    <w:p w:rsidR="003A71CD" w:rsidRPr="00686524" w:rsidRDefault="003A71CD" w:rsidP="00686524">
      <w:pPr>
        <w:pStyle w:val="ListParagraph"/>
        <w:spacing w:after="0"/>
        <w:ind w:left="1440"/>
        <w:rPr>
          <w:szCs w:val="20"/>
          <w:u w:val="single"/>
        </w:rPr>
      </w:pPr>
      <w:r w:rsidRPr="00686524">
        <w:rPr>
          <w:szCs w:val="20"/>
        </w:rPr>
        <w:tab/>
      </w:r>
      <w:r w:rsidRPr="00686524">
        <w:rPr>
          <w:szCs w:val="20"/>
          <w:u w:val="single"/>
        </w:rPr>
        <w:t>Project</w:t>
      </w:r>
      <w:r w:rsidRPr="00686524">
        <w:rPr>
          <w:szCs w:val="20"/>
          <w:u w:val="single"/>
        </w:rPr>
        <w:tab/>
      </w:r>
      <w:r w:rsidRPr="00686524">
        <w:rPr>
          <w:szCs w:val="20"/>
          <w:u w:val="single"/>
        </w:rPr>
        <w:tab/>
        <w:t>Printed/Sent Date</w:t>
      </w:r>
      <w:r w:rsidRPr="00686524">
        <w:rPr>
          <w:szCs w:val="20"/>
          <w:u w:val="single"/>
        </w:rPr>
        <w:tab/>
        <w:t>Meeting Date</w:t>
      </w:r>
      <w:r w:rsidRPr="00686524">
        <w:rPr>
          <w:szCs w:val="20"/>
          <w:u w:val="single"/>
        </w:rPr>
        <w:tab/>
        <w:t>Land Use Authority</w:t>
      </w:r>
    </w:p>
    <w:p w:rsidR="003A71CD" w:rsidRPr="00686524" w:rsidRDefault="003A71CD" w:rsidP="00686524">
      <w:pPr>
        <w:pStyle w:val="ListParagraph"/>
        <w:spacing w:after="0"/>
        <w:ind w:left="1440" w:firstLine="720"/>
        <w:rPr>
          <w:szCs w:val="20"/>
        </w:rPr>
      </w:pPr>
      <w:r w:rsidRPr="00686524">
        <w:rPr>
          <w:szCs w:val="20"/>
        </w:rPr>
        <w:t>CUP 2012-02</w:t>
      </w:r>
      <w:r w:rsidRPr="00686524">
        <w:rPr>
          <w:szCs w:val="20"/>
        </w:rPr>
        <w:tab/>
        <w:t>3/20/2012</w:t>
      </w:r>
      <w:r w:rsidRPr="00686524">
        <w:rPr>
          <w:szCs w:val="20"/>
        </w:rPr>
        <w:tab/>
      </w:r>
      <w:r w:rsidRPr="00686524">
        <w:rPr>
          <w:szCs w:val="20"/>
        </w:rPr>
        <w:tab/>
        <w:t>3/27/2012</w:t>
      </w:r>
      <w:r w:rsidRPr="00686524">
        <w:rPr>
          <w:szCs w:val="20"/>
        </w:rPr>
        <w:tab/>
        <w:t>OVPC</w:t>
      </w:r>
    </w:p>
    <w:p w:rsidR="003A71CD" w:rsidRPr="00686524" w:rsidRDefault="003A71CD" w:rsidP="00686524">
      <w:pPr>
        <w:spacing w:after="0" w:line="240" w:lineRule="auto"/>
        <w:jc w:val="both"/>
        <w:rPr>
          <w:sz w:val="20"/>
          <w:szCs w:val="20"/>
        </w:rPr>
      </w:pPr>
      <w:r w:rsidRPr="00686524">
        <w:rPr>
          <w:sz w:val="20"/>
          <w:szCs w:val="20"/>
        </w:rPr>
        <w:tab/>
      </w:r>
      <w:r w:rsidRPr="00686524">
        <w:rPr>
          <w:sz w:val="20"/>
          <w:szCs w:val="20"/>
        </w:rPr>
        <w:tab/>
      </w:r>
      <w:r w:rsidRPr="00686524">
        <w:rPr>
          <w:sz w:val="20"/>
          <w:szCs w:val="20"/>
        </w:rPr>
        <w:tab/>
        <w:t>Sub Final ph1</w:t>
      </w:r>
      <w:r w:rsidRPr="00686524">
        <w:rPr>
          <w:sz w:val="20"/>
          <w:szCs w:val="20"/>
        </w:rPr>
        <w:tab/>
        <w:t>9/17/2012</w:t>
      </w:r>
      <w:r w:rsidRPr="00686524">
        <w:rPr>
          <w:sz w:val="20"/>
          <w:szCs w:val="20"/>
        </w:rPr>
        <w:tab/>
      </w:r>
      <w:r w:rsidRPr="00686524">
        <w:rPr>
          <w:sz w:val="20"/>
          <w:szCs w:val="20"/>
        </w:rPr>
        <w:tab/>
        <w:t>9/25/2012</w:t>
      </w:r>
      <w:r w:rsidRPr="00686524">
        <w:rPr>
          <w:sz w:val="20"/>
          <w:szCs w:val="20"/>
        </w:rPr>
        <w:tab/>
        <w:t>OVPC</w:t>
      </w:r>
    </w:p>
    <w:p w:rsidR="003A71CD" w:rsidRPr="00686524" w:rsidRDefault="003A71CD" w:rsidP="00686524">
      <w:pPr>
        <w:spacing w:after="0" w:line="240" w:lineRule="auto"/>
        <w:jc w:val="both"/>
        <w:rPr>
          <w:sz w:val="20"/>
          <w:szCs w:val="20"/>
        </w:rPr>
      </w:pPr>
      <w:r w:rsidRPr="00686524">
        <w:rPr>
          <w:sz w:val="20"/>
          <w:szCs w:val="20"/>
        </w:rPr>
        <w:tab/>
      </w:r>
      <w:r w:rsidRPr="00686524">
        <w:rPr>
          <w:sz w:val="20"/>
          <w:szCs w:val="20"/>
        </w:rPr>
        <w:tab/>
      </w:r>
      <w:r w:rsidRPr="00686524">
        <w:rPr>
          <w:sz w:val="20"/>
          <w:szCs w:val="20"/>
        </w:rPr>
        <w:tab/>
        <w:t>CUP 2013-08</w:t>
      </w:r>
      <w:r w:rsidRPr="00686524">
        <w:rPr>
          <w:sz w:val="20"/>
          <w:szCs w:val="20"/>
        </w:rPr>
        <w:tab/>
        <w:t>3/19/2013</w:t>
      </w:r>
      <w:r w:rsidRPr="00686524">
        <w:rPr>
          <w:sz w:val="20"/>
          <w:szCs w:val="20"/>
        </w:rPr>
        <w:tab/>
      </w:r>
      <w:r w:rsidRPr="00686524">
        <w:rPr>
          <w:sz w:val="20"/>
          <w:szCs w:val="20"/>
        </w:rPr>
        <w:tab/>
        <w:t>3/26/2013</w:t>
      </w:r>
      <w:r w:rsidRPr="00686524">
        <w:rPr>
          <w:sz w:val="20"/>
          <w:szCs w:val="20"/>
        </w:rPr>
        <w:tab/>
        <w:t>OVPC</w:t>
      </w:r>
    </w:p>
    <w:p w:rsidR="003A71CD" w:rsidRPr="00686524" w:rsidRDefault="003A71CD" w:rsidP="00686524">
      <w:pPr>
        <w:spacing w:after="0" w:line="240" w:lineRule="auto"/>
        <w:jc w:val="both"/>
        <w:rPr>
          <w:sz w:val="20"/>
          <w:szCs w:val="20"/>
        </w:rPr>
      </w:pPr>
      <w:r w:rsidRPr="00686524">
        <w:rPr>
          <w:sz w:val="20"/>
          <w:szCs w:val="20"/>
        </w:rPr>
        <w:tab/>
      </w:r>
      <w:r w:rsidRPr="00686524">
        <w:rPr>
          <w:sz w:val="20"/>
          <w:szCs w:val="20"/>
        </w:rPr>
        <w:tab/>
      </w:r>
      <w:r w:rsidRPr="00686524">
        <w:rPr>
          <w:sz w:val="20"/>
          <w:szCs w:val="20"/>
        </w:rPr>
        <w:tab/>
        <w:t>BOA 2013-07</w:t>
      </w:r>
      <w:r w:rsidRPr="00686524">
        <w:rPr>
          <w:sz w:val="20"/>
          <w:szCs w:val="20"/>
        </w:rPr>
        <w:tab/>
        <w:t>8/1/2013</w:t>
      </w:r>
      <w:r w:rsidRPr="00686524">
        <w:rPr>
          <w:sz w:val="20"/>
          <w:szCs w:val="20"/>
        </w:rPr>
        <w:tab/>
      </w:r>
      <w:r w:rsidRPr="00686524">
        <w:rPr>
          <w:sz w:val="20"/>
          <w:szCs w:val="20"/>
        </w:rPr>
        <w:tab/>
        <w:t>8/8/2013</w:t>
      </w:r>
      <w:r w:rsidRPr="00686524">
        <w:rPr>
          <w:sz w:val="20"/>
          <w:szCs w:val="20"/>
        </w:rPr>
        <w:tab/>
        <w:t>BOA</w:t>
      </w:r>
    </w:p>
    <w:p w:rsidR="003A71CD" w:rsidRPr="00686524" w:rsidRDefault="003A71CD" w:rsidP="00686524">
      <w:pPr>
        <w:spacing w:after="0" w:line="240" w:lineRule="auto"/>
        <w:jc w:val="both"/>
        <w:rPr>
          <w:sz w:val="20"/>
          <w:szCs w:val="20"/>
        </w:rPr>
      </w:pPr>
    </w:p>
    <w:p w:rsidR="003A71CD" w:rsidRPr="00686524" w:rsidRDefault="003A71CD" w:rsidP="00686524">
      <w:pPr>
        <w:spacing w:after="0" w:line="240" w:lineRule="auto"/>
        <w:ind w:left="720"/>
        <w:jc w:val="both"/>
        <w:rPr>
          <w:sz w:val="20"/>
          <w:szCs w:val="20"/>
        </w:rPr>
      </w:pPr>
      <w:r w:rsidRPr="00686524">
        <w:rPr>
          <w:sz w:val="20"/>
          <w:szCs w:val="20"/>
        </w:rPr>
        <w:t>The Weber County Planning Division has followed all State statutory requirements regarding notice for this development. Ms. Martin claims that she was not adequately notified of these meetings. Although she does state that she does receive these notices (see page 3 of the appeal), albeit while living in Montana. She did not contact however, Planning Division Staff until receiving the notice in March of 2013. Being that the Weber County Land Use Code’s process for a PRUD application is required to be reviewed by both the Planning Commission at their regularly scheduled date, and subsequently a few weeks by the Weber County Commission. It is apparent that adequate time is allowed for any appeal could be made.</w:t>
      </w:r>
    </w:p>
    <w:p w:rsidR="003A71CD" w:rsidRPr="00686524" w:rsidRDefault="003A71CD" w:rsidP="00686524">
      <w:pPr>
        <w:spacing w:after="0" w:line="240" w:lineRule="auto"/>
        <w:ind w:left="720"/>
        <w:jc w:val="both"/>
        <w:rPr>
          <w:sz w:val="20"/>
          <w:szCs w:val="20"/>
        </w:rPr>
      </w:pPr>
    </w:p>
    <w:p w:rsidR="003A71CD" w:rsidRPr="00686524" w:rsidRDefault="003A71CD" w:rsidP="00686524">
      <w:pPr>
        <w:spacing w:after="0" w:line="240" w:lineRule="auto"/>
        <w:jc w:val="both"/>
        <w:rPr>
          <w:sz w:val="20"/>
          <w:szCs w:val="20"/>
        </w:rPr>
      </w:pPr>
    </w:p>
    <w:sectPr w:rsidR="003A71CD" w:rsidRPr="00686524" w:rsidSect="00E17A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6E7B"/>
    <w:multiLevelType w:val="hybridMultilevel"/>
    <w:tmpl w:val="DBC8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3A71CD"/>
    <w:rsid w:val="000B1CEE"/>
    <w:rsid w:val="003A71CD"/>
    <w:rsid w:val="003C4928"/>
    <w:rsid w:val="00407F2D"/>
    <w:rsid w:val="00686524"/>
    <w:rsid w:val="00863E12"/>
    <w:rsid w:val="00C45D4A"/>
    <w:rsid w:val="00E17A7D"/>
    <w:rsid w:val="00EB2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7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71CD"/>
    <w:pPr>
      <w:spacing w:after="120" w:line="240" w:lineRule="auto"/>
      <w:ind w:left="720"/>
      <w:contextualSpacing/>
      <w:jc w:val="both"/>
    </w:pPr>
    <w:rPr>
      <w:sz w:val="20"/>
    </w:rPr>
  </w:style>
  <w:style w:type="character" w:customStyle="1" w:styleId="ListParagraphChar">
    <w:name w:val="List Paragraph Char"/>
    <w:basedOn w:val="DefaultParagraphFont"/>
    <w:link w:val="ListParagraph"/>
    <w:uiPriority w:val="34"/>
    <w:rsid w:val="003A71CD"/>
    <w:rPr>
      <w:sz w:val="20"/>
    </w:rPr>
  </w:style>
  <w:style w:type="character" w:styleId="Hyperlink">
    <w:name w:val="Hyperlink"/>
    <w:basedOn w:val="DefaultParagraphFont"/>
    <w:uiPriority w:val="99"/>
    <w:unhideWhenUsed/>
    <w:rsid w:val="00EB2D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Hatfield, Ben</dc:creator>
  <cp:lastModifiedBy>Hatfield, Ben</cp:lastModifiedBy>
  <cp:revision>4</cp:revision>
  <dcterms:created xsi:type="dcterms:W3CDTF">2013-08-01T20:49:00Z</dcterms:created>
  <dcterms:modified xsi:type="dcterms:W3CDTF">2013-08-01T23:15:00Z</dcterms:modified>
</cp:coreProperties>
</file>